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4AA" w:rsidRPr="001D4713" w:rsidRDefault="00A964AA" w:rsidP="00FC1C78">
      <w:pPr>
        <w:tabs>
          <w:tab w:val="left" w:pos="1134"/>
        </w:tabs>
        <w:spacing w:after="0" w:line="240" w:lineRule="auto"/>
        <w:rPr>
          <w:b/>
          <w:color w:val="365F91" w:themeColor="accent1" w:themeShade="BF"/>
          <w:sz w:val="28"/>
        </w:rPr>
      </w:pPr>
      <w:bookmarkStart w:id="0" w:name="_GoBack"/>
      <w:bookmarkEnd w:id="0"/>
      <w:r w:rsidRPr="001D4713">
        <w:rPr>
          <w:b/>
          <w:color w:val="365F91" w:themeColor="accent1" w:themeShade="BF"/>
          <w:sz w:val="28"/>
        </w:rPr>
        <w:t>Provision of metadata</w:t>
      </w:r>
    </w:p>
    <w:p w:rsidR="00A964AA" w:rsidRDefault="00A964AA" w:rsidP="00A964AA">
      <w:pPr>
        <w:spacing w:after="0" w:line="240" w:lineRule="auto"/>
      </w:pPr>
    </w:p>
    <w:p w:rsidR="00A964AA" w:rsidRPr="00F748BC" w:rsidRDefault="00A964AA" w:rsidP="00A964AA">
      <w:pPr>
        <w:spacing w:after="0" w:line="240" w:lineRule="auto"/>
      </w:pPr>
    </w:p>
    <w:p w:rsidR="00A964AA" w:rsidRPr="00087B68" w:rsidRDefault="00A964AA" w:rsidP="00A964AA">
      <w:pPr>
        <w:pStyle w:val="ListParagraph"/>
        <w:numPr>
          <w:ilvl w:val="0"/>
          <w:numId w:val="1"/>
        </w:numPr>
        <w:spacing w:after="0" w:line="240" w:lineRule="auto"/>
        <w:ind w:left="0"/>
        <w:rPr>
          <w:b/>
          <w:sz w:val="24"/>
        </w:rPr>
      </w:pPr>
      <w:r w:rsidRPr="00087B68">
        <w:rPr>
          <w:b/>
          <w:sz w:val="24"/>
        </w:rPr>
        <w:t>Goal and target addressed</w:t>
      </w:r>
    </w:p>
    <w:p w:rsidR="00A964AA" w:rsidRDefault="00A964AA" w:rsidP="00A964AA">
      <w:pPr>
        <w:spacing w:after="0" w:line="240" w:lineRule="auto"/>
      </w:pPr>
    </w:p>
    <w:p w:rsidR="00A964AA" w:rsidRDefault="00A964AA" w:rsidP="002B1685">
      <w:pPr>
        <w:spacing w:after="0" w:line="240" w:lineRule="auto"/>
        <w:ind w:left="1530" w:hanging="1530"/>
      </w:pPr>
      <w:r>
        <w:t xml:space="preserve">Goal 15: </w:t>
      </w:r>
      <w:r w:rsidR="002B1685">
        <w:tab/>
      </w:r>
      <w:r>
        <w:t>Protect, restore and promote sustainable use of terrestrial ecosystems, sustainably manage forests, combat desertification, and halt and reverse land degradation and halt biodiversity loss</w:t>
      </w:r>
    </w:p>
    <w:p w:rsidR="00A964AA" w:rsidRDefault="00A964AA" w:rsidP="002B1685">
      <w:pPr>
        <w:spacing w:after="0" w:line="240" w:lineRule="auto"/>
        <w:ind w:left="1530" w:hanging="1530"/>
      </w:pPr>
    </w:p>
    <w:p w:rsidR="00A964AA" w:rsidRDefault="00A964AA" w:rsidP="002B1685">
      <w:pPr>
        <w:spacing w:after="0" w:line="240" w:lineRule="auto"/>
        <w:ind w:left="1530" w:hanging="1530"/>
      </w:pPr>
      <w:r>
        <w:t xml:space="preserve">Target 15.3: </w:t>
      </w:r>
      <w:r w:rsidR="002B1685">
        <w:tab/>
      </w:r>
      <w:r>
        <w:t>By 2020, combat desertification, restore degraded land and soil, including land affected by desertification, drought and floods, and strive to achieve a land-degradation-neutral world</w:t>
      </w:r>
    </w:p>
    <w:p w:rsidR="00FC1C78" w:rsidRDefault="00FC1C78" w:rsidP="002B1685">
      <w:pPr>
        <w:spacing w:after="0" w:line="240" w:lineRule="auto"/>
        <w:ind w:left="1530" w:hanging="1530"/>
      </w:pPr>
    </w:p>
    <w:p w:rsidR="00A964AA" w:rsidRDefault="00FC1C78" w:rsidP="002B1685">
      <w:pPr>
        <w:spacing w:after="0" w:line="240" w:lineRule="auto"/>
        <w:ind w:left="1530" w:hanging="1530"/>
      </w:pPr>
      <w:r>
        <w:t>Indicator 15.3.1</w:t>
      </w:r>
      <w:r w:rsidR="002B1685">
        <w:t>:</w:t>
      </w:r>
      <w:r w:rsidR="002B1685">
        <w:tab/>
      </w:r>
      <w:r>
        <w:t>Trends in land degradation</w:t>
      </w:r>
    </w:p>
    <w:p w:rsidR="00FC1C78" w:rsidRDefault="00FC1C78" w:rsidP="00A964AA">
      <w:pPr>
        <w:spacing w:after="0" w:line="240" w:lineRule="auto"/>
      </w:pPr>
    </w:p>
    <w:p w:rsidR="002B1685" w:rsidRDefault="002B1685" w:rsidP="00A964AA">
      <w:pPr>
        <w:spacing w:after="0" w:line="240" w:lineRule="auto"/>
      </w:pPr>
    </w:p>
    <w:p w:rsidR="00A964AA" w:rsidRPr="00087B68" w:rsidRDefault="00A964AA" w:rsidP="00A964AA">
      <w:pPr>
        <w:pStyle w:val="ListParagraph"/>
        <w:numPr>
          <w:ilvl w:val="0"/>
          <w:numId w:val="1"/>
        </w:numPr>
        <w:spacing w:after="0" w:line="240" w:lineRule="auto"/>
        <w:ind w:left="0"/>
        <w:rPr>
          <w:b/>
          <w:sz w:val="24"/>
        </w:rPr>
      </w:pPr>
      <w:r w:rsidRPr="00087B68">
        <w:rPr>
          <w:b/>
          <w:sz w:val="24"/>
        </w:rPr>
        <w:t>Definition and method of computation</w:t>
      </w:r>
    </w:p>
    <w:p w:rsidR="00FC1C78" w:rsidRDefault="00FC1C78" w:rsidP="00A964AA">
      <w:pPr>
        <w:pStyle w:val="ListParagraph"/>
        <w:spacing w:after="0" w:line="240" w:lineRule="auto"/>
        <w:ind w:left="0"/>
      </w:pPr>
    </w:p>
    <w:p w:rsidR="002B1685" w:rsidRPr="002B1685" w:rsidRDefault="002B1685" w:rsidP="00FC1C78">
      <w:pPr>
        <w:pStyle w:val="ListParagraph"/>
        <w:spacing w:after="0" w:line="240" w:lineRule="auto"/>
        <w:ind w:left="0"/>
        <w:rPr>
          <w:b/>
        </w:rPr>
      </w:pPr>
      <w:r w:rsidRPr="002B1685">
        <w:rPr>
          <w:b/>
        </w:rPr>
        <w:t>Definition</w:t>
      </w:r>
    </w:p>
    <w:p w:rsidR="00FC1C78" w:rsidRDefault="00FC1C78" w:rsidP="004C6139">
      <w:pPr>
        <w:pStyle w:val="ListParagraph"/>
        <w:spacing w:before="120" w:after="0" w:line="240" w:lineRule="auto"/>
        <w:ind w:left="0"/>
        <w:contextualSpacing w:val="0"/>
      </w:pPr>
      <w:r>
        <w:t xml:space="preserve">The indicator provides the </w:t>
      </w:r>
      <w:r w:rsidR="002B1685">
        <w:t xml:space="preserve">trend </w:t>
      </w:r>
      <w:r>
        <w:t>of degrading</w:t>
      </w:r>
      <w:r w:rsidR="00147BFB">
        <w:t>/</w:t>
      </w:r>
      <w:r>
        <w:t xml:space="preserve">stable/improving land at </w:t>
      </w:r>
      <w:r w:rsidR="002B1685">
        <w:t xml:space="preserve">the </w:t>
      </w:r>
      <w:r>
        <w:t xml:space="preserve">global, regional and national levels. </w:t>
      </w:r>
      <w:r w:rsidR="002B1685">
        <w:t xml:space="preserve"> </w:t>
      </w:r>
      <w:r w:rsidR="005B462B">
        <w:t>C</w:t>
      </w:r>
      <w:r>
        <w:t>hange and trends would be built upon and refer to a baseline of the current areal extent of actually degrading</w:t>
      </w:r>
      <w:r w:rsidR="00147BFB">
        <w:t>/</w:t>
      </w:r>
      <w:r>
        <w:t xml:space="preserve">stable/improving land. </w:t>
      </w:r>
    </w:p>
    <w:p w:rsidR="002B1685" w:rsidRDefault="002B1685" w:rsidP="00FC1C78">
      <w:pPr>
        <w:pStyle w:val="ListParagraph"/>
        <w:spacing w:after="0" w:line="240" w:lineRule="auto"/>
        <w:ind w:left="0"/>
      </w:pPr>
    </w:p>
    <w:p w:rsidR="00FC1C78" w:rsidRDefault="00FC1C78" w:rsidP="00FC1C78">
      <w:pPr>
        <w:pStyle w:val="ListParagraph"/>
        <w:spacing w:after="0" w:line="240" w:lineRule="auto"/>
        <w:ind w:left="0"/>
      </w:pPr>
      <w:r>
        <w:t>The measurement unit of the indicator is total spatial area (e.g. ha, km2) of land showing degrading trend/stability/improving trend per reference land unit (e.g. global land surface, continental/regional/national land surface) or the respective proportion (% of land surface of spatial reference unit).</w:t>
      </w:r>
      <w:r w:rsidR="00251D90">
        <w:t xml:space="preserve"> </w:t>
      </w:r>
      <w:r w:rsidR="002B1685">
        <w:t xml:space="preserve"> </w:t>
      </w:r>
      <w:proofErr w:type="gramStart"/>
      <w:r w:rsidR="00251D90">
        <w:t>At global to national scale the minimum spatial reporting unit is 100</w:t>
      </w:r>
      <w:r w:rsidR="002B1685">
        <w:t xml:space="preserve"> </w:t>
      </w:r>
      <w:r w:rsidR="00251D90">
        <w:t>ha, respectively 1 km</w:t>
      </w:r>
      <w:r w:rsidR="00251D90" w:rsidRPr="00CE1681">
        <w:rPr>
          <w:vertAlign w:val="superscript"/>
        </w:rPr>
        <w:t>2</w:t>
      </w:r>
      <w:r w:rsidR="00251D90">
        <w:t>.</w:t>
      </w:r>
      <w:proofErr w:type="gramEnd"/>
    </w:p>
    <w:p w:rsidR="00FC1C78" w:rsidRDefault="00FC1C78" w:rsidP="00FC1C78">
      <w:pPr>
        <w:pStyle w:val="ListParagraph"/>
        <w:spacing w:after="0" w:line="240" w:lineRule="auto"/>
        <w:ind w:left="0"/>
      </w:pPr>
    </w:p>
    <w:p w:rsidR="00FC1C78" w:rsidRDefault="00FC1C78" w:rsidP="00FC1C78">
      <w:pPr>
        <w:pStyle w:val="ListParagraph"/>
        <w:spacing w:after="0" w:line="240" w:lineRule="auto"/>
        <w:ind w:left="0"/>
      </w:pPr>
      <w:r>
        <w:t xml:space="preserve">In a tiered approach the indicator derivation is based on the synoptic utilization of trends in land cover/land use (Tier 1), trends in land productivity (Tier 2a) and soil organic carbon (SOC) (Tier 2b) primarily available through widely used global data sources. </w:t>
      </w:r>
    </w:p>
    <w:p w:rsidR="00FC1C78" w:rsidRDefault="00FC1C78" w:rsidP="00FC1C78">
      <w:pPr>
        <w:pStyle w:val="ListParagraph"/>
        <w:spacing w:after="0" w:line="240" w:lineRule="auto"/>
      </w:pPr>
    </w:p>
    <w:p w:rsidR="00FC1C78" w:rsidRDefault="00FC1C78" w:rsidP="00FC1C78">
      <w:pPr>
        <w:pStyle w:val="ListParagraph"/>
        <w:spacing w:after="0" w:line="240" w:lineRule="auto"/>
      </w:pPr>
      <w:r>
        <w:rPr>
          <w:noProof/>
          <w:lang w:val="en-GB" w:eastAsia="en-GB"/>
        </w:rPr>
        <w:drawing>
          <wp:anchor distT="0" distB="0" distL="114300" distR="114300" simplePos="0" relativeHeight="251658240" behindDoc="0" locked="0" layoutInCell="1" allowOverlap="1" wp14:anchorId="67281215" wp14:editId="074A9037">
            <wp:simplePos x="0" y="0"/>
            <wp:positionH relativeFrom="column">
              <wp:posOffset>1239850</wp:posOffset>
            </wp:positionH>
            <wp:positionV relativeFrom="paragraph">
              <wp:posOffset>64135</wp:posOffset>
            </wp:positionV>
            <wp:extent cx="3524885" cy="1095375"/>
            <wp:effectExtent l="0" t="0" r="0" b="952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885" cy="1095375"/>
                    </a:xfrm>
                    <a:prstGeom prst="rect">
                      <a:avLst/>
                    </a:prstGeom>
                    <a:noFill/>
                  </pic:spPr>
                </pic:pic>
              </a:graphicData>
            </a:graphic>
            <wp14:sizeRelH relativeFrom="page">
              <wp14:pctWidth>0</wp14:pctWidth>
            </wp14:sizeRelH>
            <wp14:sizeRelV relativeFrom="page">
              <wp14:pctHeight>0</wp14:pctHeight>
            </wp14:sizeRelV>
          </wp:anchor>
        </w:drawing>
      </w:r>
    </w:p>
    <w:p w:rsidR="00FC1C78" w:rsidRDefault="00FC1C78" w:rsidP="00FC1C78">
      <w:pPr>
        <w:pStyle w:val="ListParagraph"/>
        <w:spacing w:after="0" w:line="240" w:lineRule="auto"/>
      </w:pPr>
    </w:p>
    <w:p w:rsidR="00FC1C78" w:rsidRDefault="00FC1C78" w:rsidP="00FC1C78">
      <w:pPr>
        <w:spacing w:after="0" w:line="240" w:lineRule="auto"/>
      </w:pPr>
    </w:p>
    <w:p w:rsidR="00FC1C78" w:rsidRDefault="00FC1C78" w:rsidP="00A964AA">
      <w:pPr>
        <w:pStyle w:val="ListParagraph"/>
        <w:spacing w:after="0" w:line="240" w:lineRule="auto"/>
        <w:ind w:left="0"/>
      </w:pPr>
    </w:p>
    <w:p w:rsidR="00FC1C78" w:rsidRDefault="00FC1C78" w:rsidP="00A964AA">
      <w:pPr>
        <w:pStyle w:val="ListParagraph"/>
        <w:spacing w:after="0" w:line="240" w:lineRule="auto"/>
        <w:ind w:left="0"/>
      </w:pPr>
    </w:p>
    <w:p w:rsidR="00FC1C78" w:rsidRDefault="00FC1C78" w:rsidP="00A964AA">
      <w:pPr>
        <w:pStyle w:val="ListParagraph"/>
        <w:spacing w:after="0" w:line="240" w:lineRule="auto"/>
        <w:ind w:left="0"/>
      </w:pPr>
    </w:p>
    <w:p w:rsidR="00FC1C78" w:rsidRDefault="00FC1C78" w:rsidP="00A964AA">
      <w:pPr>
        <w:pStyle w:val="ListParagraph"/>
        <w:spacing w:after="0" w:line="240" w:lineRule="auto"/>
        <w:ind w:left="0"/>
      </w:pPr>
    </w:p>
    <w:p w:rsidR="00FC1C78" w:rsidRDefault="00FC1C78" w:rsidP="00A964AA">
      <w:pPr>
        <w:pStyle w:val="ListParagraph"/>
        <w:spacing w:after="0" w:line="240" w:lineRule="auto"/>
        <w:ind w:left="0"/>
      </w:pPr>
    </w:p>
    <w:p w:rsidR="00FD4F99" w:rsidRPr="002B1685" w:rsidRDefault="00FD4F99" w:rsidP="00FD4F99">
      <w:pPr>
        <w:pStyle w:val="ListParagraph"/>
        <w:spacing w:after="0" w:line="240" w:lineRule="auto"/>
        <w:ind w:left="0"/>
        <w:rPr>
          <w:b/>
        </w:rPr>
      </w:pPr>
      <w:r w:rsidRPr="002B1685">
        <w:rPr>
          <w:b/>
        </w:rPr>
        <w:t>Concept</w:t>
      </w:r>
    </w:p>
    <w:p w:rsidR="001D750B" w:rsidRPr="00306BDA" w:rsidRDefault="00FD4F99" w:rsidP="004C6139">
      <w:pPr>
        <w:pStyle w:val="ListParagraph"/>
        <w:spacing w:before="120" w:after="0" w:line="240" w:lineRule="auto"/>
        <w:ind w:left="0"/>
        <w:contextualSpacing w:val="0"/>
      </w:pPr>
      <w:r>
        <w:t xml:space="preserve">The UNCCD definition of land degradation is “reduction or loss of the biological or economic productivity and complexity of </w:t>
      </w:r>
      <w:proofErr w:type="spellStart"/>
      <w:r>
        <w:t>rainfed</w:t>
      </w:r>
      <w:proofErr w:type="spellEnd"/>
      <w:r>
        <w:t xml:space="preserve"> cropland, irrigated cropland, or range, pasture, forest and woodlands resulting from land uses or from a process or combination of processes arising from human activities”</w:t>
      </w:r>
      <w:r w:rsidR="002B1685">
        <w:t xml:space="preserve"> </w:t>
      </w:r>
      <w:r w:rsidR="002A1C86">
        <w:t>(UNCCD,1994)</w:t>
      </w:r>
      <w:r>
        <w:t xml:space="preserve">. </w:t>
      </w:r>
      <w:r w:rsidR="002B1685">
        <w:t xml:space="preserve"> </w:t>
      </w:r>
      <w:r w:rsidR="001D750B" w:rsidRPr="00306BDA">
        <w:t>Land degradation neutrality is defined by the Intergovernmental Working Group (IWG</w:t>
      </w:r>
      <w:r w:rsidR="004C6139">
        <w:t>/LDN</w:t>
      </w:r>
      <w:r w:rsidR="001D750B" w:rsidRPr="00306BDA">
        <w:t>) of the UNCCD as “a state whereby the amount and quality of land resources, necessary to support ecosystem functions and services and enhance food security, remains stable or increases within specified temporal an</w:t>
      </w:r>
      <w:r w:rsidR="002B1685">
        <w:t>d spatial scales and ecosystems”</w:t>
      </w:r>
      <w:r w:rsidR="001D750B" w:rsidRPr="00306BDA">
        <w:t xml:space="preserve">. </w:t>
      </w:r>
    </w:p>
    <w:p w:rsidR="001D750B" w:rsidRPr="00306BDA" w:rsidRDefault="001D750B" w:rsidP="005D7E6E">
      <w:pPr>
        <w:pStyle w:val="ListParagraph"/>
        <w:spacing w:after="0" w:line="240" w:lineRule="auto"/>
        <w:ind w:left="0"/>
      </w:pPr>
    </w:p>
    <w:p w:rsidR="005D7E6E" w:rsidRDefault="00FD4F99" w:rsidP="005D7E6E">
      <w:pPr>
        <w:pStyle w:val="ListParagraph"/>
        <w:spacing w:after="0" w:line="240" w:lineRule="auto"/>
        <w:ind w:left="0"/>
      </w:pPr>
      <w:r>
        <w:t>In view of this</w:t>
      </w:r>
      <w:r w:rsidR="002A1C86">
        <w:t>,</w:t>
      </w:r>
      <w:r>
        <w:t xml:space="preserve"> it is widely acknowledged that there is no single indicator which could unambiguously address the variable pathways of land degradation driven by the complex and multiple human-ecosystem interactions involved with land use</w:t>
      </w:r>
      <w:r w:rsidR="0015351A">
        <w:t xml:space="preserve"> (Gibbs and Salmon, 2015)</w:t>
      </w:r>
      <w:r>
        <w:t xml:space="preserve">. </w:t>
      </w:r>
      <w:r w:rsidR="005D7E6E">
        <w:t>Since 2008, the Parties to UNCCD have worked on an indicator framework to measure progress towards the objectives of the Convention</w:t>
      </w:r>
      <w:r w:rsidR="00BA1203">
        <w:t xml:space="preserve"> (UNCCD, </w:t>
      </w:r>
      <w:r w:rsidR="00BA1203">
        <w:lastRenderedPageBreak/>
        <w:t>2013a)</w:t>
      </w:r>
      <w:r w:rsidR="005D7E6E">
        <w:t xml:space="preserve">. </w:t>
      </w:r>
      <w:r w:rsidR="00BA1203">
        <w:t>A</w:t>
      </w:r>
      <w:r w:rsidR="005D7E6E">
        <w:t>t its latest session, the Conference of the Parties adopted an indicator framework composed of six indicators</w:t>
      </w:r>
      <w:r w:rsidR="00BA1203">
        <w:t xml:space="preserve"> (UNCCD, 2013b)</w:t>
      </w:r>
      <w:r w:rsidR="005D7E6E">
        <w:t>. Three of these indicators have been identified as particularly relevant in the framework of the SDG process and to measure land degradation neutrality targets.</w:t>
      </w:r>
    </w:p>
    <w:p w:rsidR="002B1685" w:rsidRDefault="002B1685" w:rsidP="00FD4F99">
      <w:pPr>
        <w:pStyle w:val="ListParagraph"/>
        <w:spacing w:after="0" w:line="240" w:lineRule="auto"/>
        <w:ind w:left="0"/>
      </w:pPr>
    </w:p>
    <w:p w:rsidR="000732C7" w:rsidRDefault="005D7E6E" w:rsidP="00FD4F99">
      <w:pPr>
        <w:pStyle w:val="ListParagraph"/>
        <w:spacing w:after="0" w:line="240" w:lineRule="auto"/>
        <w:ind w:left="0"/>
      </w:pPr>
      <w:r>
        <w:t>T</w:t>
      </w:r>
      <w:r w:rsidR="00FD4F99">
        <w:t xml:space="preserve">he </w:t>
      </w:r>
      <w:r w:rsidR="008C5587">
        <w:t xml:space="preserve">metrics </w:t>
      </w:r>
      <w:r w:rsidR="00FD4F99">
        <w:t xml:space="preserve">selected for this tiered </w:t>
      </w:r>
      <w:r w:rsidR="0015351A">
        <w:t xml:space="preserve">approach </w:t>
      </w:r>
      <w:r w:rsidR="00FD4F99">
        <w:t>would capture</w:t>
      </w:r>
      <w:r w:rsidR="0015351A" w:rsidRPr="0015351A">
        <w:t xml:space="preserve"> </w:t>
      </w:r>
      <w:r w:rsidR="0015351A">
        <w:t>those biophysical dynamics which best characterize the complex process of land degradation</w:t>
      </w:r>
      <w:r w:rsidR="00FD4F99">
        <w:t>, employing internationally-recognized data sources and methodologies</w:t>
      </w:r>
      <w:r w:rsidR="008C5587">
        <w:t>.</w:t>
      </w:r>
      <w:r w:rsidR="00FD4F99">
        <w:t xml:space="preserve"> </w:t>
      </w:r>
    </w:p>
    <w:p w:rsidR="00147BFB" w:rsidRDefault="00147BFB" w:rsidP="00FD4F99">
      <w:pPr>
        <w:pStyle w:val="ListParagraph"/>
        <w:spacing w:after="0" w:line="240" w:lineRule="auto"/>
        <w:ind w:left="0"/>
      </w:pPr>
    </w:p>
    <w:p w:rsidR="00E75AEA" w:rsidRPr="002B1685" w:rsidRDefault="002B1685" w:rsidP="00FD4F99">
      <w:pPr>
        <w:pStyle w:val="ListParagraph"/>
        <w:spacing w:after="0" w:line="240" w:lineRule="auto"/>
        <w:ind w:left="0"/>
        <w:rPr>
          <w:b/>
        </w:rPr>
      </w:pPr>
      <w:r>
        <w:rPr>
          <w:b/>
        </w:rPr>
        <w:t>Method of computation</w:t>
      </w:r>
    </w:p>
    <w:p w:rsidR="00DB6E9E" w:rsidRDefault="0091055C" w:rsidP="004C6139">
      <w:pPr>
        <w:pStyle w:val="ListParagraph"/>
        <w:spacing w:before="120" w:after="0" w:line="240" w:lineRule="auto"/>
        <w:ind w:left="0"/>
        <w:contextualSpacing w:val="0"/>
      </w:pPr>
      <w:r>
        <w:t>A</w:t>
      </w:r>
      <w:r w:rsidR="005B462B" w:rsidRPr="00730B30">
        <w:t xml:space="preserve"> baseline of actually degrading, stable and improving land </w:t>
      </w:r>
      <w:r w:rsidRPr="00730B30">
        <w:t xml:space="preserve">during the first decade (2000-2010) of this millennium </w:t>
      </w:r>
      <w:r w:rsidR="005B462B" w:rsidRPr="00730B30">
        <w:t xml:space="preserve">is </w:t>
      </w:r>
      <w:r w:rsidR="009A4080" w:rsidRPr="00730B30">
        <w:t xml:space="preserve">defined </w:t>
      </w:r>
      <w:r w:rsidR="005B462B" w:rsidRPr="00730B30">
        <w:t xml:space="preserve">by the </w:t>
      </w:r>
      <w:r w:rsidR="00DB6E9E" w:rsidRPr="00730B30">
        <w:t>following components:</w:t>
      </w:r>
    </w:p>
    <w:p w:rsidR="00B560D5" w:rsidRDefault="00B560D5" w:rsidP="00F11655">
      <w:pPr>
        <w:pStyle w:val="ListParagraph"/>
        <w:spacing w:after="0" w:line="240" w:lineRule="auto"/>
        <w:ind w:left="0"/>
      </w:pPr>
    </w:p>
    <w:p w:rsidR="00F11655" w:rsidRDefault="00F11655" w:rsidP="00CE1681">
      <w:pPr>
        <w:pStyle w:val="ListParagraph"/>
        <w:numPr>
          <w:ilvl w:val="0"/>
          <w:numId w:val="3"/>
        </w:numPr>
        <w:spacing w:after="0" w:line="240" w:lineRule="auto"/>
      </w:pPr>
      <w:r>
        <w:t xml:space="preserve">Land Cover State and Land Cover Change </w:t>
      </w:r>
      <w:r w:rsidR="00B560D5">
        <w:t xml:space="preserve">2000 to 2010. The required information is available from </w:t>
      </w:r>
      <w:r w:rsidR="00B560D5" w:rsidRPr="00B560D5">
        <w:t xml:space="preserve">global data sets and on-going initiatives </w:t>
      </w:r>
      <w:r w:rsidR="00E75AEA">
        <w:t>(see section IV</w:t>
      </w:r>
      <w:r w:rsidR="00B560D5">
        <w:t>)</w:t>
      </w:r>
      <w:r w:rsidR="002838A2">
        <w:t xml:space="preserve">. Land Cover Change would be considered especially for critical transitions from semi-natural land cover classes (Forest, shrubs, grasslands and sparsely vegetated areas) to cropland and to artificial surfaces, from cropland to artificial surfaces as well as from cropland to semi-natural land cover types. </w:t>
      </w:r>
      <w:r w:rsidR="001A6B27">
        <w:t xml:space="preserve">The change would be expressed </w:t>
      </w:r>
      <w:r w:rsidR="00E75AEA">
        <w:t xml:space="preserve">as </w:t>
      </w:r>
      <w:r w:rsidR="001A6B27">
        <w:t>area per change class in hectares/</w:t>
      </w:r>
      <w:r w:rsidR="001A6B27" w:rsidRPr="001A6B27">
        <w:t>square kilomet</w:t>
      </w:r>
      <w:r w:rsidR="001A6B27">
        <w:t>ers or proportion of total land</w:t>
      </w:r>
      <w:r w:rsidR="001A6B27" w:rsidRPr="001A6B27">
        <w:t xml:space="preserve"> over time</w:t>
      </w:r>
      <w:r w:rsidR="00E75AEA">
        <w:t>.</w:t>
      </w:r>
      <w:r w:rsidR="00730B30">
        <w:t xml:space="preserve"> </w:t>
      </w:r>
    </w:p>
    <w:p w:rsidR="00B560D5" w:rsidRDefault="00B560D5" w:rsidP="00F11655">
      <w:pPr>
        <w:pStyle w:val="ListParagraph"/>
        <w:spacing w:after="0" w:line="240" w:lineRule="auto"/>
        <w:ind w:left="0"/>
      </w:pPr>
    </w:p>
    <w:p w:rsidR="00B560D5" w:rsidRDefault="00F11655" w:rsidP="008A20E3">
      <w:pPr>
        <w:pStyle w:val="ListParagraph"/>
        <w:numPr>
          <w:ilvl w:val="0"/>
          <w:numId w:val="3"/>
        </w:numPr>
        <w:spacing w:after="0" w:line="240" w:lineRule="auto"/>
      </w:pPr>
      <w:r>
        <w:t>T</w:t>
      </w:r>
      <w:r w:rsidRPr="00636EFE">
        <w:t xml:space="preserve">rend in </w:t>
      </w:r>
      <w:r w:rsidRPr="00082573">
        <w:t xml:space="preserve">land productivity </w:t>
      </w:r>
      <w:r w:rsidR="0091055C">
        <w:t>disag</w:t>
      </w:r>
      <w:r w:rsidR="004F229F">
        <w:t xml:space="preserve">gregated </w:t>
      </w:r>
      <w:r w:rsidR="0091055C">
        <w:t>by</w:t>
      </w:r>
      <w:r w:rsidRPr="00082573">
        <w:t xml:space="preserve"> land cover/land use </w:t>
      </w:r>
      <w:r w:rsidR="004F229F">
        <w:t>classes</w:t>
      </w:r>
      <w:r w:rsidRPr="00082573">
        <w:t xml:space="preserve">. </w:t>
      </w:r>
      <w:r w:rsidR="00B560D5">
        <w:t>The trends are calculated on avai</w:t>
      </w:r>
      <w:r w:rsidR="00577722">
        <w:t>lable long-term time series of land productivity measures in approximately 1 km spatial resolution and 10 days intervals, best addressed by Earth‐Observation‐approximated</w:t>
      </w:r>
      <w:r w:rsidR="00982922">
        <w:t xml:space="preserve"> </w:t>
      </w:r>
      <w:r w:rsidR="00577722">
        <w:t xml:space="preserve">net primary productivity (NPP). </w:t>
      </w:r>
      <w:r w:rsidR="0091055C">
        <w:t xml:space="preserve">Global data for reference years are readily available. </w:t>
      </w:r>
      <w:r w:rsidR="00577722">
        <w:t>Methodologies for calculation of land productivity based on remotely‐sensed data are established.</w:t>
      </w:r>
      <w:r w:rsidR="0091055C">
        <w:t xml:space="preserve"> </w:t>
      </w:r>
      <w:r w:rsidR="00982922">
        <w:t xml:space="preserve">An exhaustive overview on the state-of-the-art methodology is given by </w:t>
      </w:r>
      <w:proofErr w:type="spellStart"/>
      <w:r w:rsidR="00833DCB" w:rsidRPr="00833DCB">
        <w:t>Yengoh</w:t>
      </w:r>
      <w:proofErr w:type="spellEnd"/>
      <w:r w:rsidR="00833DCB" w:rsidRPr="00833DCB">
        <w:t xml:space="preserve"> </w:t>
      </w:r>
      <w:proofErr w:type="gramStart"/>
      <w:r w:rsidR="00833DCB" w:rsidRPr="00833DCB">
        <w:t>et</w:t>
      </w:r>
      <w:proofErr w:type="gramEnd"/>
      <w:r w:rsidR="00833DCB" w:rsidRPr="00833DCB">
        <w:t>. al., 2014</w:t>
      </w:r>
      <w:r w:rsidR="008A20E3">
        <w:t xml:space="preserve"> (See also </w:t>
      </w:r>
      <w:proofErr w:type="spellStart"/>
      <w:r w:rsidR="008A20E3">
        <w:t>Cherlet</w:t>
      </w:r>
      <w:proofErr w:type="spellEnd"/>
      <w:r w:rsidR="008A20E3">
        <w:t xml:space="preserve"> et al. 2014; </w:t>
      </w:r>
      <w:proofErr w:type="spellStart"/>
      <w:r w:rsidR="008A20E3" w:rsidRPr="008A20E3">
        <w:t>Quang</w:t>
      </w:r>
      <w:proofErr w:type="spellEnd"/>
      <w:r w:rsidR="008A20E3" w:rsidRPr="008A20E3">
        <w:t xml:space="preserve"> </w:t>
      </w:r>
      <w:proofErr w:type="spellStart"/>
      <w:r w:rsidR="008A20E3" w:rsidRPr="008A20E3">
        <w:t>Bao</w:t>
      </w:r>
      <w:proofErr w:type="spellEnd"/>
      <w:r w:rsidR="008A20E3" w:rsidRPr="008A20E3">
        <w:t xml:space="preserve"> Le et al., 2014)</w:t>
      </w:r>
      <w:r w:rsidR="00E875C1">
        <w:t>.</w:t>
      </w:r>
      <w:r w:rsidR="00982922">
        <w:t xml:space="preserve"> </w:t>
      </w:r>
    </w:p>
    <w:p w:rsidR="00577722" w:rsidRDefault="00577722" w:rsidP="00F11655">
      <w:pPr>
        <w:pStyle w:val="ListParagraph"/>
        <w:spacing w:after="0" w:line="240" w:lineRule="auto"/>
        <w:ind w:left="0"/>
      </w:pPr>
    </w:p>
    <w:p w:rsidR="00F11655" w:rsidRDefault="00982922" w:rsidP="00CE1681">
      <w:pPr>
        <w:pStyle w:val="ListParagraph"/>
        <w:numPr>
          <w:ilvl w:val="0"/>
          <w:numId w:val="3"/>
        </w:numPr>
        <w:spacing w:after="0" w:line="240" w:lineRule="auto"/>
        <w:jc w:val="both"/>
      </w:pPr>
      <w:r>
        <w:t>Trend in Soil Organic Carbon (SOC)</w:t>
      </w:r>
      <w:r w:rsidR="004F229F">
        <w:t xml:space="preserve"> </w:t>
      </w:r>
      <w:r w:rsidR="0091055C">
        <w:t>disaggregated by</w:t>
      </w:r>
      <w:r w:rsidR="004F229F" w:rsidRPr="00082573">
        <w:t xml:space="preserve"> land cover/land use </w:t>
      </w:r>
      <w:r w:rsidR="004F229F">
        <w:t>classes.</w:t>
      </w:r>
      <w:r>
        <w:t xml:space="preserve"> T</w:t>
      </w:r>
      <w:r w:rsidR="00F11655" w:rsidRPr="00082573">
        <w:t xml:space="preserve">he </w:t>
      </w:r>
      <w:r>
        <w:t xml:space="preserve">actual </w:t>
      </w:r>
      <w:r w:rsidR="00F11655" w:rsidRPr="00082573">
        <w:t>state and trends of soil organic carbon content as provided from the currently available global soil information systems and from the reporting mechanisms under the UNFCCC implementation</w:t>
      </w:r>
      <w:r>
        <w:t xml:space="preserve"> allows currently only model derived SOC trends at country level based on land use /land cover change</w:t>
      </w:r>
      <w:r w:rsidR="00F11655" w:rsidRPr="00082573">
        <w:t>.</w:t>
      </w:r>
      <w:r>
        <w:t xml:space="preserve"> (</w:t>
      </w:r>
      <w:r w:rsidR="00C65BD5">
        <w:t>IPCC,</w:t>
      </w:r>
      <w:r>
        <w:t xml:space="preserve"> 2006). This approach is expected to be mandatory for all reporting countries from 2020. </w:t>
      </w:r>
      <w:r w:rsidR="0015351E">
        <w:t xml:space="preserve">The FAO Global Soil Partnership (GSP) is currently </w:t>
      </w:r>
      <w:r w:rsidR="00A515F4">
        <w:t>elaboration options for future global measurement programmes that may allow the establishment of spatially distributed SOC trends in the future.</w:t>
      </w:r>
      <w:r w:rsidR="00926F01">
        <w:t xml:space="preserve"> In this event Soil Organic Carbon (C) could be estimated as a stock (expressed as mass per unit area, e.g. g C per ha) or as</w:t>
      </w:r>
      <w:r w:rsidR="00E875C1">
        <w:t xml:space="preserve"> </w:t>
      </w:r>
      <w:r w:rsidR="00926F01">
        <w:t>content (e.g. % or g C/100 g soil) for a reference depth.</w:t>
      </w:r>
    </w:p>
    <w:p w:rsidR="00DB6E9E" w:rsidRDefault="00DB6E9E" w:rsidP="00FD4F99">
      <w:pPr>
        <w:pStyle w:val="ListParagraph"/>
        <w:spacing w:after="0" w:line="240" w:lineRule="auto"/>
        <w:ind w:left="0"/>
      </w:pPr>
    </w:p>
    <w:p w:rsidR="00DB6E9E" w:rsidRDefault="0091055C" w:rsidP="00FD4F99">
      <w:pPr>
        <w:pStyle w:val="ListParagraph"/>
        <w:spacing w:after="0" w:line="240" w:lineRule="auto"/>
        <w:ind w:left="0"/>
      </w:pPr>
      <w:r>
        <w:t>U</w:t>
      </w:r>
      <w:r w:rsidR="00926F01">
        <w:t>p-dates</w:t>
      </w:r>
      <w:r>
        <w:t xml:space="preserve"> of the 3 metrics</w:t>
      </w:r>
      <w:r w:rsidR="00926F01">
        <w:t xml:space="preserve"> every 5 years </w:t>
      </w:r>
      <w:r w:rsidR="004C6139">
        <w:t>are</w:t>
      </w:r>
      <w:r w:rsidR="00926F01">
        <w:t xml:space="preserve"> required</w:t>
      </w:r>
      <w:r w:rsidR="004666C8">
        <w:t xml:space="preserve"> for establishing indicator</w:t>
      </w:r>
      <w:r>
        <w:t xml:space="preserve"> trend</w:t>
      </w:r>
      <w:r w:rsidR="004666C8">
        <w:t>s</w:t>
      </w:r>
      <w:r w:rsidR="00926F01">
        <w:t>.</w:t>
      </w:r>
    </w:p>
    <w:p w:rsidR="002B1685" w:rsidRDefault="002B1685" w:rsidP="00FD4F99">
      <w:pPr>
        <w:pStyle w:val="ListParagraph"/>
        <w:spacing w:after="0" w:line="240" w:lineRule="auto"/>
        <w:ind w:left="0"/>
      </w:pPr>
    </w:p>
    <w:p w:rsidR="00A964AA" w:rsidRDefault="00A964AA"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Rationale and interpretation</w:t>
      </w:r>
    </w:p>
    <w:p w:rsidR="00A964AA" w:rsidRDefault="00A964AA" w:rsidP="00A964AA">
      <w:pPr>
        <w:spacing w:after="0" w:line="240" w:lineRule="auto"/>
      </w:pPr>
    </w:p>
    <w:p w:rsidR="00306BDA" w:rsidRDefault="00306BDA" w:rsidP="00306BDA">
      <w:pPr>
        <w:spacing w:after="0" w:line="240" w:lineRule="auto"/>
      </w:pPr>
      <w:r w:rsidRPr="008C5587">
        <w:t>In line with UNCCD (2004) and the Millennium Ecosystem Assessment (MEA, 2005), land degradation is primarily addressed as the persistent reduction or loss of land ecosystem services, notably the primary production service (</w:t>
      </w:r>
      <w:proofErr w:type="spellStart"/>
      <w:r w:rsidRPr="008C5587">
        <w:t>Safriel</w:t>
      </w:r>
      <w:proofErr w:type="spellEnd"/>
      <w:r w:rsidRPr="008C5587">
        <w:t xml:space="preserve">, 2007; Vogt et al., 2011).  </w:t>
      </w:r>
      <w:r>
        <w:t>‘</w:t>
      </w:r>
      <w:r w:rsidRPr="0050108A">
        <w:t>Land</w:t>
      </w:r>
      <w:r>
        <w:t>’</w:t>
      </w:r>
      <w:r w:rsidRPr="0050108A">
        <w:t xml:space="preserve"> is understood as the terrestrial ecosystem that embraces in its entity soil resources, parent material, vegetation cover and other biota, landscape setting and provides </w:t>
      </w:r>
      <w:r>
        <w:t xml:space="preserve">ecosystem functions and services. The proposed indicator </w:t>
      </w:r>
      <w:r w:rsidRPr="0050108A">
        <w:t>emphasizes the pivotal role of primary production among a wide range of land's services. The primary production is the basis of food production, regulates water, energy, and nutrient flows in land ecosystems, sequestrates carbon dioxide from the atmosphere and generally provides habitats for diverse species (MEA, 2005).</w:t>
      </w:r>
    </w:p>
    <w:p w:rsidR="00306BDA" w:rsidRDefault="00306BDA" w:rsidP="00306BDA">
      <w:pPr>
        <w:spacing w:after="0" w:line="240" w:lineRule="auto"/>
      </w:pPr>
    </w:p>
    <w:p w:rsidR="00306BDA" w:rsidRDefault="00306BDA" w:rsidP="00306BDA">
      <w:pPr>
        <w:spacing w:after="0" w:line="240" w:lineRule="auto"/>
      </w:pPr>
      <w:r>
        <w:lastRenderedPageBreak/>
        <w:t>Although apparent loss of net primary productivity (NPP) is often associated with land degradation, it does not necessarily indicate land degradation (e.g. less intensive agriculture may decrease yields in the short-term, but improve environmental quality in the long-term), nor an increase in NPP always means improvement (e.g. shrub encroachment in natural grasslands). Therefore, for better accounting for the variability of impacts from human–environment interactions, it is suggested that land productivity be stratified by land cover/land use type.</w:t>
      </w:r>
    </w:p>
    <w:p w:rsidR="00306BDA" w:rsidRDefault="00306BDA" w:rsidP="00306BDA">
      <w:pPr>
        <w:spacing w:after="0" w:line="240" w:lineRule="auto"/>
      </w:pPr>
    </w:p>
    <w:p w:rsidR="00306BDA" w:rsidRDefault="00306BDA" w:rsidP="00306BDA">
      <w:pPr>
        <w:spacing w:after="0" w:line="240" w:lineRule="auto"/>
      </w:pPr>
      <w:r w:rsidRPr="00810713">
        <w:t>Because land use/cover refers to ecosystem exploitation (</w:t>
      </w:r>
      <w:proofErr w:type="spellStart"/>
      <w:r w:rsidRPr="00810713">
        <w:t>Nachtergaele</w:t>
      </w:r>
      <w:proofErr w:type="spellEnd"/>
      <w:r w:rsidRPr="00810713">
        <w:t xml:space="preserve"> and Petri, 2008) and is conditioned by several anthropogenic factors that define the social and ecological contexts for interpreting causalities from statistical results, broad land-use classes have been recommended for stratifying causal analyses and interpretations of land degradation (</w:t>
      </w:r>
      <w:proofErr w:type="spellStart"/>
      <w:r w:rsidRPr="00810713">
        <w:t>Vlek</w:t>
      </w:r>
      <w:proofErr w:type="spellEnd"/>
      <w:r w:rsidRPr="00810713">
        <w:t xml:space="preserve"> et al., 2010; </w:t>
      </w:r>
      <w:proofErr w:type="spellStart"/>
      <w:r w:rsidRPr="00810713">
        <w:t>Sommer</w:t>
      </w:r>
      <w:proofErr w:type="spellEnd"/>
      <w:r w:rsidRPr="00810713">
        <w:t xml:space="preserve"> et al., 2011; Vu et al., 2014).</w:t>
      </w:r>
    </w:p>
    <w:p w:rsidR="00306BDA" w:rsidRDefault="00306BDA" w:rsidP="00306BDA">
      <w:pPr>
        <w:spacing w:after="0" w:line="240" w:lineRule="auto"/>
      </w:pPr>
    </w:p>
    <w:p w:rsidR="00306BDA" w:rsidRDefault="00306BDA" w:rsidP="00306BDA">
      <w:pPr>
        <w:spacing w:after="0" w:line="240" w:lineRule="auto"/>
      </w:pPr>
      <w:r>
        <w:t>Proxies for net primary productivity (NPP), such as NDVI, are only accounting for the quantity of vegetative standing biomass of an ecosystem</w:t>
      </w:r>
      <w:r w:rsidR="008A20E3">
        <w:t>.</w:t>
      </w:r>
      <w:r>
        <w:t xml:space="preserve"> Soil organic carbon (SOC) </w:t>
      </w:r>
      <w:r w:rsidR="008A20E3">
        <w:t xml:space="preserve">can provide information on other ecosystem services. SOC is </w:t>
      </w:r>
      <w:r>
        <w:t xml:space="preserve">one of the most important constituents of the soil due to its capacity to affect plant growth and as it plays a vital role in soil fertility maintenance as well as water flow regulation. It is therefore intrinsically connected to soil quality. Positive trends in SOC can indicate recovery of land and may be associated to sustainable land management practices. Maintaining carbon stocks in soils can also generate additional benefits pertaining to climate change mitigation and biodiversity conservation. As total soil organic carbon (SOC) stocks are strongly affected by land use and land management, it is suggested that measurements of SOC stocks be disaggregated by land use/cover. </w:t>
      </w:r>
    </w:p>
    <w:p w:rsidR="00306BDA" w:rsidRDefault="00306BDA" w:rsidP="00306BDA">
      <w:pPr>
        <w:spacing w:after="0" w:line="240" w:lineRule="auto"/>
      </w:pPr>
    </w:p>
    <w:p w:rsidR="00306BDA" w:rsidRDefault="00306BDA" w:rsidP="00306BDA">
      <w:pPr>
        <w:spacing w:after="0" w:line="240" w:lineRule="auto"/>
      </w:pPr>
      <w:r w:rsidRPr="00A305C2">
        <w:t xml:space="preserve">In this hypothetical case of a country affected by both a progressive loss of productive areas (i.e. cropland) and a declining productivity of land, remedies to stop these negative trends and become land degradation neutral, as management options identified by the IWG, are (a) restoring degraded lands and increasing cropland areas; and (b) prevent, avoid or minimize land degradation, including through sustainable land management to increase land productivity. </w:t>
      </w:r>
    </w:p>
    <w:p w:rsidR="002B1685" w:rsidRDefault="002B1685" w:rsidP="00306BDA">
      <w:pPr>
        <w:spacing w:after="0" w:line="240" w:lineRule="auto"/>
      </w:pPr>
    </w:p>
    <w:p w:rsidR="00A964AA" w:rsidRDefault="00A964AA" w:rsidP="00A964AA">
      <w:pPr>
        <w:spacing w:after="0" w:line="240" w:lineRule="auto"/>
      </w:pPr>
    </w:p>
    <w:p w:rsidR="00A964AA" w:rsidRPr="00087B68" w:rsidRDefault="00A964AA" w:rsidP="00A964AA">
      <w:pPr>
        <w:pStyle w:val="ListParagraph"/>
        <w:numPr>
          <w:ilvl w:val="0"/>
          <w:numId w:val="1"/>
        </w:numPr>
        <w:spacing w:after="0" w:line="240" w:lineRule="auto"/>
        <w:ind w:left="0"/>
        <w:rPr>
          <w:b/>
          <w:sz w:val="24"/>
        </w:rPr>
      </w:pPr>
      <w:r w:rsidRPr="00087B68">
        <w:rPr>
          <w:b/>
          <w:sz w:val="24"/>
        </w:rPr>
        <w:t>Sources and data collection</w:t>
      </w:r>
    </w:p>
    <w:p w:rsidR="00A964AA" w:rsidRDefault="00A964AA" w:rsidP="00A964AA">
      <w:pPr>
        <w:pStyle w:val="ListParagraph"/>
        <w:spacing w:after="0" w:line="240" w:lineRule="auto"/>
        <w:ind w:left="0"/>
      </w:pPr>
    </w:p>
    <w:p w:rsidR="00FD4F99" w:rsidRPr="002B1685" w:rsidRDefault="00FD4F99" w:rsidP="00FD4F99">
      <w:pPr>
        <w:pStyle w:val="ListParagraph"/>
        <w:spacing w:after="0" w:line="240" w:lineRule="auto"/>
        <w:ind w:left="0"/>
        <w:rPr>
          <w:b/>
        </w:rPr>
      </w:pPr>
      <w:r w:rsidRPr="002B1685">
        <w:rPr>
          <w:b/>
        </w:rPr>
        <w:t>Trends in Land Co</w:t>
      </w:r>
      <w:r w:rsidR="002B1685" w:rsidRPr="002B1685">
        <w:rPr>
          <w:b/>
        </w:rPr>
        <w:t>ver/Land Use</w:t>
      </w:r>
    </w:p>
    <w:p w:rsidR="00E75AEA" w:rsidRDefault="00FD4F99" w:rsidP="004C6139">
      <w:pPr>
        <w:pStyle w:val="ListParagraph"/>
        <w:spacing w:before="120" w:after="0" w:line="240" w:lineRule="auto"/>
        <w:ind w:left="0"/>
        <w:contextualSpacing w:val="0"/>
      </w:pPr>
      <w:r>
        <w:t>There are numerous global data sets and on-going initiatives to provide harmonized global land cover and land cover change data</w:t>
      </w:r>
      <w:r w:rsidR="00137708">
        <w:t xml:space="preserve"> (IPCC, 2006</w:t>
      </w:r>
      <w:r w:rsidR="004276DF">
        <w:t>. See Annex 3A.1</w:t>
      </w:r>
      <w:r w:rsidR="00463E42">
        <w:t xml:space="preserve">. See also </w:t>
      </w:r>
      <w:r w:rsidR="00463E42" w:rsidRPr="004F257A">
        <w:t>European Space Agency’s Climate Change Initiative Land Cover (CCI-LC</w:t>
      </w:r>
      <w:proofErr w:type="gramStart"/>
      <w:r w:rsidR="00463E42" w:rsidRPr="004F257A">
        <w:t>):</w:t>
      </w:r>
      <w:proofErr w:type="gramEnd"/>
      <w:r w:rsidR="00463E42" w:rsidRPr="004F257A">
        <w:t xml:space="preserve"> </w:t>
      </w:r>
      <w:r w:rsidR="00463E42">
        <w:t>&lt;</w:t>
      </w:r>
      <w:r w:rsidR="00463E42" w:rsidRPr="00CE1681">
        <w:t>http://www.esa-landcover-cci.org/</w:t>
      </w:r>
      <w:r w:rsidR="00463E42">
        <w:t xml:space="preserve">&gt; and FAO </w:t>
      </w:r>
      <w:r w:rsidR="00463E42" w:rsidRPr="00B560D5">
        <w:t>Global Land Cover SHARE (GLC-SHARE)</w:t>
      </w:r>
      <w:r w:rsidR="00463E42">
        <w:t>: &lt;</w:t>
      </w:r>
      <w:r w:rsidR="00463E42" w:rsidRPr="00E75AEA">
        <w:t>http://www.glcn.org/databases/lc_glcshare_en.jsp</w:t>
      </w:r>
      <w:r w:rsidR="00463E42">
        <w:t>&gt;</w:t>
      </w:r>
      <w:r w:rsidR="00137708">
        <w:t>)</w:t>
      </w:r>
      <w:r>
        <w:t xml:space="preserve">. Cooperation and continuity is provided under the umbrella of the GEO and GEOSS frameworks and bilateral and multi-lateral agreements of national and regional earth observation agencies and institutions. </w:t>
      </w:r>
    </w:p>
    <w:p w:rsidR="00FD4F99" w:rsidRDefault="00463E42" w:rsidP="00FD4F99">
      <w:pPr>
        <w:pStyle w:val="ListParagraph"/>
        <w:spacing w:after="0" w:line="240" w:lineRule="auto"/>
        <w:ind w:left="0"/>
      </w:pPr>
      <w:r>
        <w:t>There are also n</w:t>
      </w:r>
      <w:r w:rsidR="00FD4F99">
        <w:t xml:space="preserve">umerous regional products working widely with harmonized standards of FAO-UNEP </w:t>
      </w:r>
      <w:r w:rsidR="000C1258">
        <w:t>Land Cover Classification System</w:t>
      </w:r>
      <w:r w:rsidR="00FD4F99">
        <w:t xml:space="preserve"> </w:t>
      </w:r>
      <w:r w:rsidR="00E875C1">
        <w:t>(</w:t>
      </w:r>
      <w:r w:rsidR="00FD4F99">
        <w:t>L</w:t>
      </w:r>
      <w:r w:rsidR="000C1258">
        <w:t>CCS</w:t>
      </w:r>
      <w:r w:rsidR="00E875C1">
        <w:t>). E</w:t>
      </w:r>
      <w:r w:rsidR="00FD4F99">
        <w:t xml:space="preserve">.g. Europe </w:t>
      </w:r>
      <w:proofErr w:type="spellStart"/>
      <w:r w:rsidR="00FD4F99">
        <w:t>Corine</w:t>
      </w:r>
      <w:proofErr w:type="spellEnd"/>
      <w:r w:rsidR="00FD4F99">
        <w:t xml:space="preserve"> L</w:t>
      </w:r>
      <w:r w:rsidR="00E875C1">
        <w:t>and Cover: &lt;</w:t>
      </w:r>
      <w:r w:rsidR="00FD4F99">
        <w:t>http://www.eea.europa.eu/data-and-maps/data/corine-land-cover</w:t>
      </w:r>
      <w:r w:rsidR="00E875C1">
        <w:t>&gt;</w:t>
      </w:r>
    </w:p>
    <w:p w:rsidR="00FD4F99" w:rsidRDefault="00FD4F99" w:rsidP="00FD4F99">
      <w:pPr>
        <w:pStyle w:val="ListParagraph"/>
        <w:spacing w:after="0" w:line="240" w:lineRule="auto"/>
        <w:ind w:left="0"/>
      </w:pPr>
    </w:p>
    <w:p w:rsidR="00FD4F99" w:rsidRDefault="00FD4F99" w:rsidP="00FD4F99">
      <w:pPr>
        <w:pStyle w:val="ListParagraph"/>
        <w:spacing w:after="0" w:line="240" w:lineRule="auto"/>
        <w:ind w:left="0"/>
      </w:pPr>
      <w:r w:rsidRPr="002B1685">
        <w:rPr>
          <w:b/>
        </w:rPr>
        <w:t>Trends in Land Productivity</w:t>
      </w:r>
    </w:p>
    <w:p w:rsidR="00FD4F99" w:rsidRDefault="00FD4F99" w:rsidP="004C6139">
      <w:pPr>
        <w:pStyle w:val="ListParagraph"/>
        <w:spacing w:before="120" w:after="0" w:line="240" w:lineRule="auto"/>
        <w:ind w:left="0"/>
        <w:contextualSpacing w:val="0"/>
      </w:pPr>
      <w:r>
        <w:t>Main data source for global land productivity are remote sensing data bases of NDVI and other Vegetation Indices/Variables derived from different platforms and sensors covering a time span from 1982 to recent, with weekly to monthly intervals and at spatial sampling between 250</w:t>
      </w:r>
      <w:r w:rsidR="00E875C1">
        <w:t xml:space="preserve"> m</w:t>
      </w:r>
      <w:r>
        <w:t xml:space="preserve"> and 8 km pixel size. Same or similar global initiatives as mentioned above exist to assure harmonized products and standards. </w:t>
      </w:r>
    </w:p>
    <w:p w:rsidR="00FD4F99" w:rsidRDefault="00FD4F99" w:rsidP="00FD4F99">
      <w:pPr>
        <w:pStyle w:val="ListParagraph"/>
        <w:spacing w:after="0" w:line="240" w:lineRule="auto"/>
        <w:ind w:left="0"/>
      </w:pPr>
      <w:r>
        <w:t xml:space="preserve">There exist several on-going initiatives to </w:t>
      </w:r>
      <w:proofErr w:type="spellStart"/>
      <w:r>
        <w:t>analyse</w:t>
      </w:r>
      <w:proofErr w:type="spellEnd"/>
      <w:r>
        <w:t xml:space="preserve"> these time series and to derive Land Productivity Change.</w:t>
      </w:r>
    </w:p>
    <w:p w:rsidR="00FD4F99" w:rsidRDefault="00FD4F99" w:rsidP="00FD4F99">
      <w:pPr>
        <w:pStyle w:val="ListParagraph"/>
        <w:spacing w:after="0" w:line="240" w:lineRule="auto"/>
        <w:ind w:left="0"/>
      </w:pPr>
      <w:r>
        <w:t xml:space="preserve">An exhaustive overview on the current state of play is given by </w:t>
      </w:r>
      <w:proofErr w:type="spellStart"/>
      <w:r w:rsidR="005D7E6E">
        <w:t>Yengoh</w:t>
      </w:r>
      <w:proofErr w:type="spellEnd"/>
      <w:r w:rsidR="005D7E6E">
        <w:t xml:space="preserve"> </w:t>
      </w:r>
      <w:proofErr w:type="gramStart"/>
      <w:r w:rsidR="005D7E6E">
        <w:t>et</w:t>
      </w:r>
      <w:proofErr w:type="gramEnd"/>
      <w:r w:rsidR="005D7E6E">
        <w:t xml:space="preserve">. </w:t>
      </w:r>
      <w:proofErr w:type="gramStart"/>
      <w:r w:rsidR="005D7E6E">
        <w:t>al., 2014</w:t>
      </w:r>
      <w:r w:rsidR="00147BFB">
        <w:t>.</w:t>
      </w:r>
      <w:proofErr w:type="gramEnd"/>
      <w:r>
        <w:t xml:space="preserve"> </w:t>
      </w:r>
      <w:r w:rsidR="00926F01">
        <w:t>Additional information on data sources and methodologies can be found</w:t>
      </w:r>
      <w:r w:rsidR="00E875C1">
        <w:t xml:space="preserve"> at: &lt;</w:t>
      </w:r>
      <w:r w:rsidR="00463E42" w:rsidRPr="00CE1681">
        <w:t>http://gcmd.gsfc.nasa.gov/index.html</w:t>
      </w:r>
      <w:r w:rsidR="00E875C1">
        <w:t xml:space="preserve">&gt;, </w:t>
      </w:r>
      <w:r w:rsidR="00463E42">
        <w:t>&lt;</w:t>
      </w:r>
      <w:r w:rsidR="00463E42" w:rsidRPr="00CE1681">
        <w:t>http://land.copernicus.eu/global/themes/Vegetation</w:t>
      </w:r>
      <w:r w:rsidR="00463E42">
        <w:t xml:space="preserve">&gt; and </w:t>
      </w:r>
      <w:r w:rsidR="00147BFB">
        <w:t>&lt;</w:t>
      </w:r>
      <w:r w:rsidR="00147BFB" w:rsidRPr="00147BFB">
        <w:t>http://wad.jrc.ec.europa.eu/</w:t>
      </w:r>
      <w:r w:rsidR="00147BFB">
        <w:t>&gt;.</w:t>
      </w:r>
    </w:p>
    <w:p w:rsidR="00FD4F99" w:rsidRDefault="00FD4F99" w:rsidP="00FD4F99">
      <w:pPr>
        <w:pStyle w:val="ListParagraph"/>
        <w:spacing w:after="0" w:line="240" w:lineRule="auto"/>
        <w:ind w:left="0"/>
      </w:pPr>
    </w:p>
    <w:p w:rsidR="00FD4F99" w:rsidRPr="002B1685" w:rsidRDefault="00FD4F99" w:rsidP="00FD4F99">
      <w:pPr>
        <w:pStyle w:val="ListParagraph"/>
        <w:spacing w:after="0" w:line="240" w:lineRule="auto"/>
        <w:ind w:left="0"/>
        <w:rPr>
          <w:b/>
        </w:rPr>
      </w:pPr>
      <w:r w:rsidRPr="002B1685">
        <w:rPr>
          <w:b/>
        </w:rPr>
        <w:lastRenderedPageBreak/>
        <w:t>Trends in Soil Organic Carbon</w:t>
      </w:r>
    </w:p>
    <w:p w:rsidR="00833DCB" w:rsidRDefault="00FD4F99" w:rsidP="004C6139">
      <w:pPr>
        <w:pStyle w:val="ListParagraph"/>
        <w:spacing w:before="120" w:after="0" w:line="240" w:lineRule="auto"/>
        <w:ind w:left="0"/>
        <w:contextualSpacing w:val="0"/>
      </w:pPr>
      <w:r>
        <w:t>Global estimates of soil organic carbon stocks have been produced in the past to support the calculation of potential emissions of CO2 from the soil under scenarios of change land use/cover and climatic conditions (IPCC, 2006), but very few global estimates are presented as spatial data. For global spatial layers on soil parameters, the most recent and complete dataset is available as the Harmonized World Soil Database (HWSD). The HWSD represents a step forward towards a spatially more detailed and thematically more refined set of global soil data</w:t>
      </w:r>
      <w:r w:rsidR="00463E42">
        <w:t xml:space="preserve"> (see &lt;</w:t>
      </w:r>
      <w:r w:rsidR="00463E42" w:rsidRPr="00CE1681">
        <w:t>http://eusoils.jrc.ec.europa.eu/ESDB_Archive/octop/Global.html</w:t>
      </w:r>
      <w:r w:rsidR="00463E42">
        <w:t>&gt;).</w:t>
      </w:r>
      <w:r w:rsidR="00833DCB" w:rsidRPr="00833DCB">
        <w:t xml:space="preserve"> </w:t>
      </w:r>
      <w:r w:rsidR="00833DCB">
        <w:t>Currently available global spatial data sets are model derived and thus do currently not provide trends. The main dynamic component that could modulate the predictions would actually be global information on land use/land cover change which could be used to derive coarse estimates of associated change in SOC stocks using the IPCC methodology (IPCC, 2006), where main changes would be in function of change from</w:t>
      </w:r>
      <w:r w:rsidR="00833DCB" w:rsidRPr="001F6D02">
        <w:t xml:space="preserve"> forest cover</w:t>
      </w:r>
      <w:r w:rsidR="00833DCB">
        <w:t xml:space="preserve"> to other land cover types. At regional levels (e.g. in Africa, Australia and Europe), initiatives exist that aim at the establishment of methodologies and protocols for regional scale SOC measurement. This type of initiatives could produce regular up-dates of spatially disaggregated SOC data for wide areas, especially of agricultural land e.g. </w:t>
      </w:r>
      <w:proofErr w:type="spellStart"/>
      <w:r w:rsidR="00833DCB" w:rsidRPr="00905856">
        <w:t>Aynekulu</w:t>
      </w:r>
      <w:proofErr w:type="spellEnd"/>
      <w:r w:rsidR="00833DCB">
        <w:t xml:space="preserve"> et al. (2011), </w:t>
      </w:r>
      <w:proofErr w:type="spellStart"/>
      <w:r w:rsidR="00833DCB">
        <w:t>Lugato</w:t>
      </w:r>
      <w:proofErr w:type="spellEnd"/>
      <w:r w:rsidR="00833DCB">
        <w:t xml:space="preserve"> et al. (2014).</w:t>
      </w:r>
    </w:p>
    <w:p w:rsidR="00FD4F99" w:rsidRDefault="00463E42" w:rsidP="00FD4F99">
      <w:pPr>
        <w:pStyle w:val="ListParagraph"/>
        <w:spacing w:after="0" w:line="240" w:lineRule="auto"/>
        <w:ind w:left="0"/>
      </w:pPr>
      <w:r>
        <w:t xml:space="preserve"> (</w:t>
      </w:r>
      <w:proofErr w:type="gramStart"/>
      <w:r w:rsidR="00833DCB">
        <w:t>see</w:t>
      </w:r>
      <w:proofErr w:type="gramEnd"/>
      <w:r w:rsidR="00833DCB">
        <w:t xml:space="preserve"> also</w:t>
      </w:r>
      <w:r w:rsidR="00FD4F99">
        <w:t xml:space="preserve"> </w:t>
      </w:r>
      <w:r>
        <w:t>&lt;</w:t>
      </w:r>
      <w:r w:rsidRPr="00CE1681">
        <w:t>http://www.worldagroforestry.org/downloads/Publications/PDFS/TM11192.pdf</w:t>
      </w:r>
      <w:r>
        <w:t>&gt; and &lt;</w:t>
      </w:r>
      <w:r w:rsidR="00FD4F99">
        <w:t>http://eusoils.jrc.ec.europa.eu/library/Themes/SOC/LUCASSOC/</w:t>
      </w:r>
      <w:r>
        <w:t>&gt;)</w:t>
      </w:r>
    </w:p>
    <w:p w:rsidR="002B1685" w:rsidRDefault="002B1685" w:rsidP="00FD4F99">
      <w:pPr>
        <w:pStyle w:val="ListParagraph"/>
        <w:spacing w:after="0" w:line="240" w:lineRule="auto"/>
        <w:ind w:left="0"/>
      </w:pPr>
    </w:p>
    <w:p w:rsidR="00A964AA" w:rsidRDefault="00A964AA"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Disaggregation</w:t>
      </w:r>
    </w:p>
    <w:p w:rsidR="00A964AA" w:rsidRDefault="00A964AA" w:rsidP="00A964AA">
      <w:pPr>
        <w:pStyle w:val="ListParagraph"/>
        <w:spacing w:after="0" w:line="240" w:lineRule="auto"/>
        <w:ind w:left="0"/>
      </w:pPr>
    </w:p>
    <w:p w:rsidR="00A964AA" w:rsidRDefault="00434A9C" w:rsidP="00A964AA">
      <w:pPr>
        <w:pStyle w:val="ListParagraph"/>
        <w:spacing w:after="0" w:line="240" w:lineRule="auto"/>
        <w:ind w:left="0"/>
      </w:pPr>
      <w:r>
        <w:t xml:space="preserve">The indicator could be </w:t>
      </w:r>
      <w:r w:rsidR="00463E42">
        <w:t xml:space="preserve">spatially </w:t>
      </w:r>
      <w:r>
        <w:t>disaggregated to sub-national administrative units, management relevant landscape units for instance watersheds or catchments e</w:t>
      </w:r>
      <w:r w:rsidR="008A20E3">
        <w:t>.</w:t>
      </w:r>
      <w:r>
        <w:t>g. in the context of supranational river basins.</w:t>
      </w:r>
      <w:r w:rsidR="003A49DA">
        <w:t xml:space="preserve"> </w:t>
      </w:r>
    </w:p>
    <w:p w:rsidR="002B1685" w:rsidRDefault="002B1685" w:rsidP="00A964AA">
      <w:pPr>
        <w:pStyle w:val="ListParagraph"/>
        <w:spacing w:after="0" w:line="240" w:lineRule="auto"/>
        <w:ind w:left="0"/>
      </w:pPr>
    </w:p>
    <w:p w:rsidR="00A964AA" w:rsidRDefault="00A964AA"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Comments and limitations</w:t>
      </w:r>
    </w:p>
    <w:p w:rsidR="00A964AA" w:rsidRDefault="00A964AA" w:rsidP="00A964AA">
      <w:pPr>
        <w:pStyle w:val="ListParagraph"/>
        <w:spacing w:after="0" w:line="240" w:lineRule="auto"/>
        <w:ind w:left="0"/>
      </w:pPr>
    </w:p>
    <w:p w:rsidR="00926F01" w:rsidRDefault="00926F01" w:rsidP="00CE1681">
      <w:pPr>
        <w:pStyle w:val="ListParagraph"/>
        <w:spacing w:after="0" w:line="240" w:lineRule="auto"/>
        <w:ind w:left="0"/>
      </w:pPr>
      <w:r>
        <w:t xml:space="preserve">There is no single indicator which could unambiguously track land degradation trends. Countries will develop an understanding of land degradation by considering a limited range of metrics in combination. The selected metrics are measurable and essential in capturing a minimum of land characteristics that are globally comparable. These metrics have already been adopted by the UNCCD Conference of the Parties and will be used by UNCCD country Parties to set nationally voluntary targets and report on progress towards achieving these targets. </w:t>
      </w:r>
    </w:p>
    <w:p w:rsidR="00926F01" w:rsidRDefault="00926F01" w:rsidP="00CE1681">
      <w:pPr>
        <w:pStyle w:val="ListParagraph"/>
        <w:spacing w:after="0" w:line="240" w:lineRule="auto"/>
        <w:ind w:left="0"/>
      </w:pPr>
    </w:p>
    <w:p w:rsidR="00926F01" w:rsidRDefault="00926F01" w:rsidP="00CE1681">
      <w:pPr>
        <w:pStyle w:val="ListParagraph"/>
        <w:spacing w:after="0" w:line="240" w:lineRule="auto"/>
        <w:ind w:left="0"/>
      </w:pPr>
      <w:r>
        <w:t xml:space="preserve">However, even combined, these metrics do not comprehensively address all quantity and quality aspects of land degradation. Therefore, the monitoring of this indicator needs to take place within the context of broader monitoring and accountability strategies. Complementary indicators at national to sub-national scale that monitor issues relevant to specific national contexts are crucial. Indicators reported under other SDG targets, for instance socio-economic indicators, can provide complementary information to interpret land degradation trends. </w:t>
      </w:r>
    </w:p>
    <w:p w:rsidR="00926F01" w:rsidRDefault="00926F01" w:rsidP="00CE1681">
      <w:pPr>
        <w:pStyle w:val="ListParagraph"/>
        <w:spacing w:after="0" w:line="240" w:lineRule="auto"/>
        <w:ind w:left="0"/>
      </w:pPr>
    </w:p>
    <w:p w:rsidR="00926F01" w:rsidRDefault="00926F01" w:rsidP="00CE1681">
      <w:pPr>
        <w:pStyle w:val="ListParagraph"/>
        <w:spacing w:after="0" w:line="240" w:lineRule="auto"/>
        <w:ind w:left="0"/>
      </w:pPr>
      <w:r>
        <w:t xml:space="preserve">Required data is not systematically collected on a routine, harmonized, and comparable basis – particularly in low-income countries. Therefore, monitoring of trends will primarily rely on remote sensing, global data sets. The use of readily available global data sets will ensure harmonization and comparability, limit data collection efforts and puts greater emphasis on data quality improvement and interpretation. However, since national ownership at all levels of the SDG framework is critical, countries should validate default global data with national data, if available. Linking global data to (sub-) national data would blend a top-down with a bottom-up approach. </w:t>
      </w:r>
    </w:p>
    <w:p w:rsidR="00926F01" w:rsidRDefault="00926F01" w:rsidP="00CE1681">
      <w:pPr>
        <w:pStyle w:val="ListParagraph"/>
        <w:spacing w:after="0" w:line="240" w:lineRule="auto"/>
        <w:ind w:left="0"/>
      </w:pPr>
    </w:p>
    <w:p w:rsidR="00A964AA" w:rsidRDefault="00926F01" w:rsidP="00BE5790">
      <w:pPr>
        <w:pStyle w:val="ListParagraph"/>
        <w:spacing w:after="0" w:line="240" w:lineRule="auto"/>
        <w:ind w:left="0"/>
      </w:pPr>
      <w:r>
        <w:t>The indicator is unsuited to annual production. Generally, sampling intervals of 5 years are adequate for the selected metrics. Pr</w:t>
      </w:r>
      <w:r w:rsidR="00BE5790">
        <w:t>ojections or extrapolations would</w:t>
      </w:r>
      <w:r>
        <w:t xml:space="preserve"> need to be applied for annual reporting</w:t>
      </w:r>
      <w:r w:rsidR="00BE5790">
        <w:t xml:space="preserve"> if required.</w:t>
      </w:r>
    </w:p>
    <w:p w:rsidR="00A964AA" w:rsidRDefault="00A964AA" w:rsidP="00BE5790">
      <w:pPr>
        <w:pStyle w:val="ListParagraph"/>
        <w:spacing w:after="0" w:line="240" w:lineRule="auto"/>
        <w:ind w:left="0"/>
      </w:pPr>
    </w:p>
    <w:p w:rsidR="00560AA4" w:rsidRDefault="00560AA4" w:rsidP="00BE5790">
      <w:pPr>
        <w:pStyle w:val="ListParagraph"/>
        <w:spacing w:after="0" w:line="240" w:lineRule="auto"/>
        <w:ind w:left="0"/>
      </w:pPr>
      <w:r>
        <w:t xml:space="preserve">The use of remotely sensed long-term time series for extracting land productivity trends has repeatedly raised concerns of comparability and apparently diverging results of different products. Issues to be clarified here relate to agreements on the reference time series lengths, the way of aggregating the observed vegetation indices to annual productivity proxy and approaches </w:t>
      </w:r>
      <w:r w:rsidR="00BC4166">
        <w:t>to evaluate different time series in ensemble. Following recent workshops organized by GEF STAP in 2014 and 2015 an agreement between main actors e.g. amongst others NASA, ESA, EC Joint Research Centre has been reached to jointly address these issues in preparation to UNCCD indicator reporting.</w:t>
      </w:r>
    </w:p>
    <w:p w:rsidR="002B1685" w:rsidRDefault="002B1685" w:rsidP="00BE5790">
      <w:pPr>
        <w:pStyle w:val="ListParagraph"/>
        <w:spacing w:after="0" w:line="240" w:lineRule="auto"/>
        <w:ind w:left="0"/>
      </w:pPr>
    </w:p>
    <w:p w:rsidR="00147BFB" w:rsidRDefault="00147BFB"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Gender equality issues</w:t>
      </w:r>
    </w:p>
    <w:p w:rsidR="00A964AA" w:rsidRDefault="00A964AA" w:rsidP="00A964AA">
      <w:pPr>
        <w:pStyle w:val="ListParagraph"/>
        <w:spacing w:after="0" w:line="240" w:lineRule="auto"/>
        <w:ind w:left="0"/>
      </w:pPr>
    </w:p>
    <w:p w:rsidR="00CD779B" w:rsidRDefault="00CD779B" w:rsidP="00CD779B">
      <w:pPr>
        <w:spacing w:after="0" w:line="240" w:lineRule="auto"/>
      </w:pPr>
      <w:r>
        <w:t xml:space="preserve">Women play an important role in regions affected by desertification and/or drought, particularly in rural areas of developing countries (UNCCD, 1994). Women are key players in both the agricultural and pastoral production processes. They are the primary natural resource managers, providers of food security, and repositories of knowledge and expertise on indigenous plants, medicines, food and water. </w:t>
      </w:r>
    </w:p>
    <w:p w:rsidR="00CD779B" w:rsidRDefault="00CD779B" w:rsidP="00CD779B">
      <w:pPr>
        <w:spacing w:after="0" w:line="240" w:lineRule="auto"/>
      </w:pPr>
    </w:p>
    <w:p w:rsidR="00CD779B" w:rsidRDefault="00CD779B" w:rsidP="00CD779B">
      <w:pPr>
        <w:spacing w:after="0" w:line="240" w:lineRule="auto"/>
      </w:pPr>
      <w:r>
        <w:t>Among agricultural communities, men own the land and produce cash crops, and as a result can obtain credit and other facilities. Women on the other hand rarely own land and are often confined to the production of subsistence foods. Without ownership of assets such as land, women cannot access credit and extension and technological services. By contrast, in pastoral communities, assets tend to be communally owned, thus men and women generally have equal access. Yet, pastoral women may face significant barriers to accessing crucial resources, such as water points.</w:t>
      </w:r>
    </w:p>
    <w:p w:rsidR="00CD779B" w:rsidRDefault="00CD779B" w:rsidP="00CD779B">
      <w:pPr>
        <w:spacing w:after="0" w:line="240" w:lineRule="auto"/>
      </w:pPr>
    </w:p>
    <w:p w:rsidR="00A964AA" w:rsidRDefault="00CD779B" w:rsidP="00CD779B">
      <w:pPr>
        <w:pStyle w:val="ListParagraph"/>
        <w:spacing w:after="0" w:line="240" w:lineRule="auto"/>
        <w:ind w:left="0"/>
      </w:pPr>
      <w:r>
        <w:t>The restoration of degraded soil requires the supplemental use of new technologies. Such technologies are usually transferred through agricultural extension systems staffed by male officers who are more comfortable working with male producers, especially where local cultural norms make it difficult for male extension workers to interact with female producers. Consequently men obtain most of the direct benefits during the initial set-up and implementation stages of the new technology.</w:t>
      </w:r>
    </w:p>
    <w:p w:rsidR="002B1685" w:rsidRDefault="002B1685" w:rsidP="00CD779B">
      <w:pPr>
        <w:pStyle w:val="ListParagraph"/>
        <w:spacing w:after="0" w:line="240" w:lineRule="auto"/>
        <w:ind w:left="0"/>
      </w:pPr>
    </w:p>
    <w:p w:rsidR="00A964AA" w:rsidRDefault="00A964AA"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Data for global and regional monitoring</w:t>
      </w:r>
    </w:p>
    <w:p w:rsidR="00A964AA" w:rsidRDefault="00A964AA" w:rsidP="00A964AA">
      <w:pPr>
        <w:pStyle w:val="ListParagraph"/>
        <w:spacing w:after="0" w:line="240" w:lineRule="auto"/>
        <w:ind w:left="0"/>
      </w:pPr>
    </w:p>
    <w:p w:rsidR="00ED3324" w:rsidRDefault="00ED3324" w:rsidP="00CE1681">
      <w:pPr>
        <w:pStyle w:val="ListParagraph"/>
        <w:spacing w:after="0" w:line="240" w:lineRule="auto"/>
        <w:ind w:left="0"/>
      </w:pPr>
      <w:r w:rsidRPr="00CE1681">
        <w:t xml:space="preserve">The United Nations Convention to Combat Desertification (UNCCD) compiles data for this indicator. </w:t>
      </w:r>
      <w:r w:rsidRPr="00ED3324">
        <w:t>This indicator will be used by UNCCD country Parties to set nationally voluntary targets and report on progress towards achieving these targets.</w:t>
      </w:r>
      <w:r w:rsidR="00A647DD">
        <w:t xml:space="preserve"> </w:t>
      </w:r>
      <w:r w:rsidRPr="00CE1681">
        <w:t>The necessary data are obtained primarily from remote sensing data acquired and processed by various international organizations. As part of the reporting and review process, national estimates derived from global datasets are validated by UNCCD country Parties or replaced with national estimates using data sourced/computed nationally/locally.</w:t>
      </w:r>
    </w:p>
    <w:p w:rsidR="00ED3324" w:rsidRDefault="00ED3324" w:rsidP="00ED3324">
      <w:pPr>
        <w:spacing w:after="0" w:line="240" w:lineRule="auto"/>
      </w:pPr>
    </w:p>
    <w:p w:rsidR="00ED3324" w:rsidRDefault="00ED3324" w:rsidP="00ED3324">
      <w:pPr>
        <w:spacing w:after="0" w:line="240" w:lineRule="auto"/>
      </w:pPr>
      <w:r>
        <w:t>With decision 22/COP.11 of the Conference of the Parties (COP) to the UNCCD, the Convention has established a monitoring and evaluation approach for land degradation consisting of: (</w:t>
      </w:r>
      <w:proofErr w:type="spellStart"/>
      <w:r>
        <w:t>i</w:t>
      </w:r>
      <w:proofErr w:type="spellEnd"/>
      <w:r>
        <w:t>) a set of six progress indicators (including land cover, land productivity and soil organic carbon); (ii) a conceptual framework that allows the integration of indicators; and (iii) indicators sourcing and management mechanisms. Affected country Parties to the Convention are requested to report on those indicators for which standardized global datasets that can be disaggregated to the subnational level exist. The UNCCD Secretariat is requested to provide countries with national estimates of each progress indicators based on available data sources. Affected country Parties, in turn, are invited to validate these national estimates and to establish targets using the progress indicators within their National Action Programmes (NAPs).</w:t>
      </w:r>
    </w:p>
    <w:p w:rsidR="00ED3324" w:rsidRDefault="00ED3324" w:rsidP="00ED3324">
      <w:pPr>
        <w:spacing w:after="0" w:line="240" w:lineRule="auto"/>
      </w:pPr>
    </w:p>
    <w:p w:rsidR="00ED3324" w:rsidRDefault="00ED3324" w:rsidP="00ED3324">
      <w:pPr>
        <w:spacing w:after="0" w:line="240" w:lineRule="auto"/>
      </w:pPr>
      <w:r>
        <w:t xml:space="preserve">Progress towards achieving land </w:t>
      </w:r>
      <w:r w:rsidR="00A647DD">
        <w:t xml:space="preserve">degradation </w:t>
      </w:r>
      <w:r>
        <w:t xml:space="preserve">neutrality targets will be assessed by the governing bodies of the Convention, in particular the Committee for the Review of Implementation of the Convention (CRIC), </w:t>
      </w:r>
      <w:r>
        <w:lastRenderedPageBreak/>
        <w:t>against data and information contained in national reports. The CRIC reviews information on progress indicators every four years.</w:t>
      </w:r>
    </w:p>
    <w:p w:rsidR="00ED3324" w:rsidRDefault="00ED3324" w:rsidP="00ED3324">
      <w:pPr>
        <w:spacing w:after="0" w:line="240" w:lineRule="auto"/>
      </w:pPr>
    </w:p>
    <w:p w:rsidR="00ED3324" w:rsidRDefault="00ED3324" w:rsidP="00ED3324">
      <w:pPr>
        <w:spacing w:after="0" w:line="240" w:lineRule="auto"/>
      </w:pPr>
      <w:r>
        <w:t xml:space="preserve">The UNCCD secretariat started testing this approach since May 2014 within the Land Degradation Neutrality Project being implemented by 16 affected country Parties worldwide. Data and information on the set of progress indicators are being compiled in cooperation with the European Commission’s Joint </w:t>
      </w:r>
      <w:r w:rsidRPr="00286EC7">
        <w:t xml:space="preserve">Research Centre (JRC) </w:t>
      </w:r>
      <w:r>
        <w:t>and the indicators tested against their relevance, methodological soundness, measurability and ease of understanding and communication.</w:t>
      </w:r>
    </w:p>
    <w:p w:rsidR="00A964AA" w:rsidRDefault="00A964AA"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Supplementary information</w:t>
      </w:r>
    </w:p>
    <w:p w:rsidR="00A964AA" w:rsidRDefault="00A964AA" w:rsidP="00A964AA">
      <w:pPr>
        <w:pStyle w:val="ListParagraph"/>
        <w:spacing w:after="0" w:line="240" w:lineRule="auto"/>
        <w:ind w:left="0"/>
      </w:pPr>
    </w:p>
    <w:p w:rsidR="00A964AA" w:rsidRDefault="00147BFB" w:rsidP="00A964AA">
      <w:pPr>
        <w:pStyle w:val="ListParagraph"/>
        <w:spacing w:after="0" w:line="240" w:lineRule="auto"/>
        <w:ind w:left="0"/>
      </w:pPr>
      <w:r>
        <w:t>-</w:t>
      </w:r>
    </w:p>
    <w:p w:rsidR="002B1685" w:rsidRDefault="002B1685" w:rsidP="00A964AA">
      <w:pPr>
        <w:pStyle w:val="ListParagraph"/>
        <w:spacing w:after="0" w:line="240" w:lineRule="auto"/>
        <w:ind w:left="0"/>
      </w:pPr>
    </w:p>
    <w:p w:rsidR="00A964AA" w:rsidRPr="00087B68" w:rsidRDefault="00A964AA" w:rsidP="00A964AA">
      <w:pPr>
        <w:pStyle w:val="ListParagraph"/>
        <w:numPr>
          <w:ilvl w:val="0"/>
          <w:numId w:val="1"/>
        </w:numPr>
        <w:spacing w:after="0" w:line="240" w:lineRule="auto"/>
        <w:ind w:left="0"/>
        <w:rPr>
          <w:b/>
          <w:sz w:val="24"/>
        </w:rPr>
      </w:pPr>
      <w:r w:rsidRPr="00087B68">
        <w:rPr>
          <w:b/>
          <w:sz w:val="24"/>
        </w:rPr>
        <w:t>References</w:t>
      </w:r>
    </w:p>
    <w:p w:rsidR="00A964AA" w:rsidRDefault="00A964AA" w:rsidP="00A964AA">
      <w:pPr>
        <w:spacing w:after="0" w:line="240" w:lineRule="auto"/>
      </w:pPr>
    </w:p>
    <w:p w:rsidR="00833DCB" w:rsidRPr="00147BFB" w:rsidRDefault="00833DCB" w:rsidP="00147BFB">
      <w:pPr>
        <w:spacing w:after="120" w:line="240" w:lineRule="auto"/>
      </w:pPr>
      <w:proofErr w:type="spellStart"/>
      <w:proofErr w:type="gramStart"/>
      <w:r w:rsidRPr="00147BFB">
        <w:t>Aynekulu</w:t>
      </w:r>
      <w:proofErr w:type="spellEnd"/>
      <w:r w:rsidRPr="00147BFB">
        <w:t xml:space="preserve">, E. </w:t>
      </w:r>
      <w:proofErr w:type="spellStart"/>
      <w:r w:rsidRPr="00147BFB">
        <w:t>Vagen</w:t>
      </w:r>
      <w:proofErr w:type="spellEnd"/>
      <w:r w:rsidRPr="00147BFB">
        <w:t xml:space="preserve">, T-G., </w:t>
      </w:r>
      <w:proofErr w:type="spellStart"/>
      <w:r w:rsidRPr="00147BFB">
        <w:t>Shephard</w:t>
      </w:r>
      <w:proofErr w:type="spellEnd"/>
      <w:r w:rsidRPr="00147BFB">
        <w:t xml:space="preserve">, K., </w:t>
      </w:r>
      <w:proofErr w:type="spellStart"/>
      <w:r w:rsidRPr="00147BFB">
        <w:t>Winowiecki</w:t>
      </w:r>
      <w:proofErr w:type="spellEnd"/>
      <w:r w:rsidRPr="00147BFB">
        <w:t>, L. 2011.</w:t>
      </w:r>
      <w:proofErr w:type="gramEnd"/>
      <w:r w:rsidRPr="00147BFB">
        <w:t xml:space="preserve"> A protocol for modeling, measurement and monitoring soil carbon stocks in agricultural landscapes. </w:t>
      </w:r>
      <w:proofErr w:type="gramStart"/>
      <w:r w:rsidRPr="00147BFB">
        <w:t>Version 1.1.</w:t>
      </w:r>
      <w:proofErr w:type="gramEnd"/>
      <w:r w:rsidRPr="00147BFB">
        <w:t xml:space="preserve"> World Agroforestry Centre, Nairobi.</w:t>
      </w:r>
    </w:p>
    <w:p w:rsidR="00833DCB" w:rsidRPr="00147BFB" w:rsidRDefault="00833DCB" w:rsidP="00147BFB">
      <w:pPr>
        <w:spacing w:after="120" w:line="240" w:lineRule="auto"/>
      </w:pPr>
      <w:r w:rsidRPr="00147BFB">
        <w:t xml:space="preserve">CHERLET, Michael (1); IVITS, Eva (2); KUTNJAK, </w:t>
      </w:r>
      <w:proofErr w:type="spellStart"/>
      <w:r w:rsidRPr="00147BFB">
        <w:t>Hrvoje</w:t>
      </w:r>
      <w:proofErr w:type="spellEnd"/>
      <w:r w:rsidRPr="00147BFB">
        <w:t xml:space="preserve">; SMID, Marek; SOMMER, Stefan 2014: Use of remote sensing derived land productive capacity dynamics for the new World Atlas of desertification (WAD). </w:t>
      </w:r>
    </w:p>
    <w:p w:rsidR="00833DCB" w:rsidRPr="00147BFB" w:rsidRDefault="00833DCB" w:rsidP="00147BFB">
      <w:pPr>
        <w:spacing w:after="120" w:line="240" w:lineRule="auto"/>
      </w:pPr>
      <w:r w:rsidRPr="00147BFB">
        <w:t xml:space="preserve">Annex 2 in </w:t>
      </w:r>
      <w:proofErr w:type="gramStart"/>
      <w:r w:rsidRPr="00147BFB">
        <w:t>The</w:t>
      </w:r>
      <w:proofErr w:type="gramEnd"/>
      <w:r w:rsidRPr="00147BFB">
        <w:t xml:space="preserve"> use of the Normalized Difference Vegetation Index (NDVI) to assess land degradation at multiple scales: a review of the current status, future trends, and practical considerations. Lund University Center for Sustainability Studies (LUCSUS), and </w:t>
      </w:r>
      <w:proofErr w:type="gramStart"/>
      <w:r w:rsidRPr="00147BFB">
        <w:t>The</w:t>
      </w:r>
      <w:proofErr w:type="gramEnd"/>
      <w:r w:rsidRPr="00147BFB">
        <w:t xml:space="preserve"> Scientific and Technical Advisory Panel of the Global Environment Facility (STAP/GEF).</w:t>
      </w:r>
    </w:p>
    <w:p w:rsidR="00833DCB" w:rsidRPr="00147BFB" w:rsidRDefault="00833DCB" w:rsidP="00147BFB">
      <w:pPr>
        <w:pStyle w:val="Default"/>
        <w:spacing w:after="120"/>
        <w:rPr>
          <w:rFonts w:asciiTheme="minorHAnsi" w:hAnsiTheme="minorHAnsi"/>
          <w:sz w:val="22"/>
          <w:szCs w:val="22"/>
        </w:rPr>
      </w:pPr>
      <w:proofErr w:type="gramStart"/>
      <w:r w:rsidRPr="00147BFB">
        <w:rPr>
          <w:rFonts w:asciiTheme="minorHAnsi" w:hAnsiTheme="minorHAnsi"/>
          <w:sz w:val="22"/>
          <w:szCs w:val="22"/>
        </w:rPr>
        <w:t>IPCC (2006)</w:t>
      </w:r>
      <w:r w:rsidR="008728C7" w:rsidRPr="00147BFB">
        <w:rPr>
          <w:rFonts w:asciiTheme="minorHAnsi" w:hAnsiTheme="minorHAnsi"/>
          <w:sz w:val="22"/>
          <w:szCs w:val="22"/>
        </w:rPr>
        <w:t>.</w:t>
      </w:r>
      <w:proofErr w:type="gramEnd"/>
      <w:r w:rsidRPr="00147BFB">
        <w:rPr>
          <w:rFonts w:asciiTheme="minorHAnsi" w:hAnsiTheme="minorHAnsi"/>
          <w:sz w:val="22"/>
          <w:szCs w:val="22"/>
        </w:rPr>
        <w:t xml:space="preserve"> </w:t>
      </w:r>
      <w:proofErr w:type="gramStart"/>
      <w:r w:rsidRPr="00147BFB">
        <w:rPr>
          <w:rFonts w:asciiTheme="minorHAnsi" w:hAnsiTheme="minorHAnsi"/>
          <w:sz w:val="22"/>
          <w:szCs w:val="22"/>
        </w:rPr>
        <w:t>Guidelines for National Greenhouse Gas Inventories.</w:t>
      </w:r>
      <w:proofErr w:type="gramEnd"/>
      <w:r w:rsidRPr="00147BFB">
        <w:rPr>
          <w:rFonts w:asciiTheme="minorHAnsi" w:hAnsiTheme="minorHAnsi"/>
          <w:sz w:val="22"/>
          <w:szCs w:val="22"/>
        </w:rPr>
        <w:t xml:space="preserve"> Volume 4: Agriculture, Forestry and Other Land Use. Geneva. Available at: &lt;</w:t>
      </w:r>
      <w:hyperlink r:id="rId10" w:history="1">
        <w:r w:rsidRPr="00147BFB">
          <w:rPr>
            <w:rStyle w:val="Hyperlink"/>
            <w:rFonts w:asciiTheme="minorHAnsi" w:hAnsiTheme="minorHAnsi"/>
            <w:sz w:val="22"/>
            <w:szCs w:val="22"/>
          </w:rPr>
          <w:t>http://www.ipcc-nggip.iges.or.jp/public/2006gl/vol4.html</w:t>
        </w:r>
      </w:hyperlink>
      <w:r w:rsidRPr="00147BFB">
        <w:rPr>
          <w:rFonts w:asciiTheme="minorHAnsi" w:hAnsiTheme="minorHAnsi"/>
          <w:sz w:val="22"/>
          <w:szCs w:val="22"/>
        </w:rPr>
        <w:t>&gt;</w:t>
      </w:r>
    </w:p>
    <w:p w:rsidR="00833DCB" w:rsidRPr="00147BFB" w:rsidRDefault="00833DCB" w:rsidP="00147BFB">
      <w:pPr>
        <w:pStyle w:val="Default"/>
        <w:spacing w:after="120"/>
        <w:rPr>
          <w:rFonts w:asciiTheme="minorHAnsi" w:hAnsiTheme="minorHAnsi"/>
          <w:sz w:val="22"/>
          <w:szCs w:val="22"/>
        </w:rPr>
      </w:pPr>
      <w:r w:rsidRPr="00E0014C">
        <w:rPr>
          <w:rFonts w:asciiTheme="minorHAnsi" w:hAnsiTheme="minorHAnsi"/>
          <w:sz w:val="22"/>
          <w:szCs w:val="22"/>
          <w:lang w:val="es-CL"/>
        </w:rPr>
        <w:t xml:space="preserve">Lugato E., Panagos P., Bampa, F., Jones A., Montanarella L. (2014). </w:t>
      </w:r>
      <w:proofErr w:type="gramStart"/>
      <w:r w:rsidRPr="00147BFB">
        <w:rPr>
          <w:rFonts w:asciiTheme="minorHAnsi" w:hAnsiTheme="minorHAnsi"/>
          <w:sz w:val="22"/>
          <w:szCs w:val="22"/>
        </w:rPr>
        <w:t>A new baseline of organic carbon stock in European agricultural soils using a modelling approach.</w:t>
      </w:r>
      <w:proofErr w:type="gramEnd"/>
      <w:r w:rsidRPr="00147BFB">
        <w:rPr>
          <w:rFonts w:asciiTheme="minorHAnsi" w:hAnsiTheme="minorHAnsi"/>
          <w:sz w:val="22"/>
          <w:szCs w:val="22"/>
        </w:rPr>
        <w:t xml:space="preserve"> </w:t>
      </w:r>
      <w:proofErr w:type="gramStart"/>
      <w:r w:rsidRPr="00147BFB">
        <w:rPr>
          <w:rFonts w:asciiTheme="minorHAnsi" w:hAnsiTheme="minorHAnsi"/>
          <w:sz w:val="22"/>
          <w:szCs w:val="22"/>
        </w:rPr>
        <w:t>Global change biology.</w:t>
      </w:r>
      <w:proofErr w:type="gramEnd"/>
      <w:r w:rsidRPr="00147BFB">
        <w:rPr>
          <w:rFonts w:asciiTheme="minorHAnsi" w:hAnsiTheme="minorHAnsi"/>
          <w:sz w:val="22"/>
          <w:szCs w:val="22"/>
        </w:rPr>
        <w:t xml:space="preserve"> 20 (1), pp. 313-326.</w:t>
      </w:r>
    </w:p>
    <w:p w:rsidR="00833DCB" w:rsidRPr="00147BFB" w:rsidRDefault="00833DCB" w:rsidP="00147BFB">
      <w:pPr>
        <w:pStyle w:val="Default"/>
        <w:spacing w:after="120"/>
        <w:rPr>
          <w:rFonts w:asciiTheme="minorHAnsi" w:hAnsiTheme="minorHAnsi"/>
          <w:sz w:val="22"/>
          <w:szCs w:val="22"/>
        </w:rPr>
      </w:pPr>
      <w:proofErr w:type="gramStart"/>
      <w:r w:rsidRPr="00147BFB">
        <w:rPr>
          <w:rFonts w:asciiTheme="minorHAnsi" w:hAnsiTheme="minorHAnsi"/>
          <w:sz w:val="22"/>
          <w:szCs w:val="22"/>
        </w:rPr>
        <w:t>MEA, 2005.</w:t>
      </w:r>
      <w:proofErr w:type="gramEnd"/>
      <w:r w:rsidRPr="00147BFB">
        <w:rPr>
          <w:rFonts w:asciiTheme="minorHAnsi" w:hAnsiTheme="minorHAnsi"/>
          <w:sz w:val="22"/>
          <w:szCs w:val="22"/>
        </w:rPr>
        <w:t xml:space="preserve"> Ecosystems and Human Well-being: Synthesis. </w:t>
      </w:r>
      <w:proofErr w:type="gramStart"/>
      <w:r w:rsidRPr="00147BFB">
        <w:rPr>
          <w:rFonts w:asciiTheme="minorHAnsi" w:hAnsiTheme="minorHAnsi"/>
          <w:sz w:val="22"/>
          <w:szCs w:val="22"/>
        </w:rPr>
        <w:t>Millennium Ecosystem Assessment.</w:t>
      </w:r>
      <w:proofErr w:type="gramEnd"/>
      <w:r w:rsidRPr="00147BFB">
        <w:rPr>
          <w:rFonts w:asciiTheme="minorHAnsi" w:hAnsiTheme="minorHAnsi"/>
          <w:sz w:val="22"/>
          <w:szCs w:val="22"/>
        </w:rPr>
        <w:t xml:space="preserve"> Washington DC.</w:t>
      </w:r>
    </w:p>
    <w:p w:rsidR="00833DCB" w:rsidRPr="00147BFB" w:rsidRDefault="00833DCB" w:rsidP="00147BFB">
      <w:pPr>
        <w:pStyle w:val="Default"/>
        <w:spacing w:after="120"/>
        <w:rPr>
          <w:rFonts w:asciiTheme="minorHAnsi" w:hAnsiTheme="minorHAnsi"/>
          <w:sz w:val="22"/>
          <w:szCs w:val="22"/>
        </w:rPr>
      </w:pPr>
      <w:proofErr w:type="spellStart"/>
      <w:proofErr w:type="gramStart"/>
      <w:r w:rsidRPr="00147BFB">
        <w:rPr>
          <w:rFonts w:asciiTheme="minorHAnsi" w:hAnsiTheme="minorHAnsi"/>
          <w:sz w:val="22"/>
          <w:szCs w:val="22"/>
        </w:rPr>
        <w:t>Nachtergaele</w:t>
      </w:r>
      <w:proofErr w:type="spellEnd"/>
      <w:r w:rsidRPr="00147BFB">
        <w:rPr>
          <w:rFonts w:asciiTheme="minorHAnsi" w:hAnsiTheme="minorHAnsi"/>
          <w:sz w:val="22"/>
          <w:szCs w:val="22"/>
        </w:rPr>
        <w:t>, F. and Petri, M., 2008.</w:t>
      </w:r>
      <w:proofErr w:type="gramEnd"/>
      <w:r w:rsidRPr="00147BFB">
        <w:rPr>
          <w:rFonts w:asciiTheme="minorHAnsi" w:hAnsiTheme="minorHAnsi"/>
          <w:sz w:val="22"/>
          <w:szCs w:val="22"/>
        </w:rPr>
        <w:t xml:space="preserve"> Mapping land use systems at global and regional scales for land degradation assessment analysis. FAO, Rome.</w:t>
      </w:r>
    </w:p>
    <w:p w:rsidR="00833DCB" w:rsidRPr="00147BFB" w:rsidRDefault="00833DCB" w:rsidP="00147BFB">
      <w:pPr>
        <w:pStyle w:val="Default"/>
        <w:spacing w:after="120"/>
        <w:rPr>
          <w:rFonts w:asciiTheme="minorHAnsi" w:hAnsiTheme="minorHAnsi"/>
          <w:sz w:val="22"/>
          <w:szCs w:val="22"/>
        </w:rPr>
      </w:pPr>
      <w:proofErr w:type="spellStart"/>
      <w:r w:rsidRPr="00147BFB">
        <w:rPr>
          <w:rFonts w:asciiTheme="minorHAnsi" w:hAnsiTheme="minorHAnsi"/>
          <w:sz w:val="22"/>
          <w:szCs w:val="22"/>
        </w:rPr>
        <w:t>Quang</w:t>
      </w:r>
      <w:proofErr w:type="spellEnd"/>
      <w:r w:rsidRPr="00147BFB">
        <w:rPr>
          <w:rFonts w:asciiTheme="minorHAnsi" w:hAnsiTheme="minorHAnsi"/>
          <w:sz w:val="22"/>
          <w:szCs w:val="22"/>
        </w:rPr>
        <w:t xml:space="preserve"> </w:t>
      </w:r>
      <w:proofErr w:type="spellStart"/>
      <w:r w:rsidRPr="00147BFB">
        <w:rPr>
          <w:rFonts w:asciiTheme="minorHAnsi" w:hAnsiTheme="minorHAnsi"/>
          <w:sz w:val="22"/>
          <w:szCs w:val="22"/>
        </w:rPr>
        <w:t>Bao</w:t>
      </w:r>
      <w:proofErr w:type="spellEnd"/>
      <w:r w:rsidRPr="00147BFB">
        <w:rPr>
          <w:rFonts w:asciiTheme="minorHAnsi" w:hAnsiTheme="minorHAnsi"/>
          <w:sz w:val="22"/>
          <w:szCs w:val="22"/>
        </w:rPr>
        <w:t xml:space="preserve"> Le, Ephraim </w:t>
      </w:r>
      <w:proofErr w:type="spellStart"/>
      <w:r w:rsidRPr="00147BFB">
        <w:rPr>
          <w:rFonts w:asciiTheme="minorHAnsi" w:hAnsiTheme="minorHAnsi"/>
          <w:sz w:val="22"/>
          <w:szCs w:val="22"/>
        </w:rPr>
        <w:t>Nkonya</w:t>
      </w:r>
      <w:proofErr w:type="spellEnd"/>
      <w:r w:rsidRPr="00147BFB">
        <w:rPr>
          <w:rFonts w:asciiTheme="minorHAnsi" w:hAnsiTheme="minorHAnsi"/>
          <w:sz w:val="22"/>
          <w:szCs w:val="22"/>
        </w:rPr>
        <w:t xml:space="preserve"> and </w:t>
      </w:r>
      <w:proofErr w:type="spellStart"/>
      <w:r w:rsidRPr="00147BFB">
        <w:rPr>
          <w:rFonts w:asciiTheme="minorHAnsi" w:hAnsiTheme="minorHAnsi"/>
          <w:sz w:val="22"/>
          <w:szCs w:val="22"/>
        </w:rPr>
        <w:t>Alisher</w:t>
      </w:r>
      <w:proofErr w:type="spellEnd"/>
      <w:r w:rsidRPr="00147BFB">
        <w:rPr>
          <w:rFonts w:asciiTheme="minorHAnsi" w:hAnsiTheme="minorHAnsi"/>
          <w:sz w:val="22"/>
          <w:szCs w:val="22"/>
        </w:rPr>
        <w:t xml:space="preserve"> </w:t>
      </w:r>
      <w:proofErr w:type="spellStart"/>
      <w:r w:rsidRPr="00147BFB">
        <w:rPr>
          <w:rFonts w:asciiTheme="minorHAnsi" w:hAnsiTheme="minorHAnsi"/>
          <w:sz w:val="22"/>
          <w:szCs w:val="22"/>
        </w:rPr>
        <w:t>Mirzabaev</w:t>
      </w:r>
      <w:proofErr w:type="spellEnd"/>
      <w:r w:rsidRPr="00147BFB">
        <w:rPr>
          <w:rFonts w:asciiTheme="minorHAnsi" w:hAnsiTheme="minorHAnsi"/>
          <w:sz w:val="22"/>
          <w:szCs w:val="22"/>
        </w:rPr>
        <w:t>, Biomass Productivity-Based Mapping of Global Land Degradation Hotspots, ZEF - Discussion Papers on Development Policy No. 193, Center for Development Research, Bonn, July 2014, pp.57.</w:t>
      </w:r>
    </w:p>
    <w:p w:rsidR="00833DCB" w:rsidRPr="00147BFB" w:rsidRDefault="00833DCB" w:rsidP="00147BFB">
      <w:pPr>
        <w:pStyle w:val="Default"/>
        <w:spacing w:after="120"/>
        <w:rPr>
          <w:rFonts w:asciiTheme="minorHAnsi" w:hAnsiTheme="minorHAnsi"/>
          <w:sz w:val="22"/>
          <w:szCs w:val="22"/>
        </w:rPr>
      </w:pPr>
      <w:proofErr w:type="spellStart"/>
      <w:r w:rsidRPr="00147BFB">
        <w:rPr>
          <w:rFonts w:asciiTheme="minorHAnsi" w:hAnsiTheme="minorHAnsi"/>
          <w:sz w:val="22"/>
          <w:szCs w:val="22"/>
        </w:rPr>
        <w:t>Safriel</w:t>
      </w:r>
      <w:proofErr w:type="spellEnd"/>
      <w:r w:rsidRPr="00147BFB">
        <w:rPr>
          <w:rFonts w:asciiTheme="minorHAnsi" w:hAnsiTheme="minorHAnsi"/>
          <w:sz w:val="22"/>
          <w:szCs w:val="22"/>
        </w:rPr>
        <w:t xml:space="preserve">, U.N., 2007. </w:t>
      </w:r>
      <w:proofErr w:type="gramStart"/>
      <w:r w:rsidRPr="00147BFB">
        <w:rPr>
          <w:rFonts w:asciiTheme="minorHAnsi" w:hAnsiTheme="minorHAnsi"/>
          <w:sz w:val="22"/>
          <w:szCs w:val="22"/>
        </w:rPr>
        <w:t>The assessment of global trends in land degradation.</w:t>
      </w:r>
      <w:proofErr w:type="gramEnd"/>
      <w:r w:rsidRPr="00147BFB">
        <w:rPr>
          <w:rFonts w:asciiTheme="minorHAnsi" w:hAnsiTheme="minorHAnsi"/>
          <w:sz w:val="22"/>
          <w:szCs w:val="22"/>
        </w:rPr>
        <w:t xml:space="preserve"> In: </w:t>
      </w:r>
      <w:proofErr w:type="spellStart"/>
      <w:r w:rsidRPr="00147BFB">
        <w:rPr>
          <w:rFonts w:asciiTheme="minorHAnsi" w:hAnsiTheme="minorHAnsi"/>
          <w:sz w:val="22"/>
          <w:szCs w:val="22"/>
        </w:rPr>
        <w:t>Sivakumar</w:t>
      </w:r>
      <w:proofErr w:type="spellEnd"/>
      <w:r w:rsidRPr="00147BFB">
        <w:rPr>
          <w:rFonts w:asciiTheme="minorHAnsi" w:hAnsiTheme="minorHAnsi"/>
          <w:sz w:val="22"/>
          <w:szCs w:val="22"/>
        </w:rPr>
        <w:t xml:space="preserve">, M.V.K., </w:t>
      </w:r>
      <w:proofErr w:type="spellStart"/>
      <w:r w:rsidRPr="00147BFB">
        <w:rPr>
          <w:rFonts w:asciiTheme="minorHAnsi" w:hAnsiTheme="minorHAnsi"/>
          <w:sz w:val="22"/>
          <w:szCs w:val="22"/>
        </w:rPr>
        <w:t>Ndiang’ui</w:t>
      </w:r>
      <w:proofErr w:type="spellEnd"/>
      <w:r w:rsidRPr="00147BFB">
        <w:rPr>
          <w:rFonts w:asciiTheme="minorHAnsi" w:hAnsiTheme="minorHAnsi"/>
          <w:sz w:val="22"/>
          <w:szCs w:val="22"/>
        </w:rPr>
        <w:t xml:space="preserve">, N. (Eds.), Climate and Land Degradation. Springer </w:t>
      </w:r>
      <w:proofErr w:type="spellStart"/>
      <w:r w:rsidRPr="00147BFB">
        <w:rPr>
          <w:rFonts w:asciiTheme="minorHAnsi" w:hAnsiTheme="minorHAnsi"/>
          <w:sz w:val="22"/>
          <w:szCs w:val="22"/>
        </w:rPr>
        <w:t>Verlag</w:t>
      </w:r>
      <w:proofErr w:type="spellEnd"/>
      <w:r w:rsidRPr="00147BFB">
        <w:rPr>
          <w:rFonts w:asciiTheme="minorHAnsi" w:hAnsiTheme="minorHAnsi"/>
          <w:sz w:val="22"/>
          <w:szCs w:val="22"/>
        </w:rPr>
        <w:t>, Berlin, pp. 1 - 38.</w:t>
      </w:r>
    </w:p>
    <w:p w:rsidR="00833DCB" w:rsidRPr="00147BFB" w:rsidRDefault="00833DCB" w:rsidP="00147BFB">
      <w:pPr>
        <w:pStyle w:val="Default"/>
        <w:spacing w:after="120"/>
        <w:rPr>
          <w:rFonts w:asciiTheme="minorHAnsi" w:hAnsiTheme="minorHAnsi"/>
          <w:sz w:val="22"/>
          <w:szCs w:val="22"/>
        </w:rPr>
      </w:pPr>
      <w:proofErr w:type="spellStart"/>
      <w:proofErr w:type="gramStart"/>
      <w:r w:rsidRPr="00147BFB">
        <w:rPr>
          <w:rFonts w:asciiTheme="minorHAnsi" w:hAnsiTheme="minorHAnsi"/>
          <w:sz w:val="22"/>
          <w:szCs w:val="22"/>
        </w:rPr>
        <w:t>Sommer</w:t>
      </w:r>
      <w:proofErr w:type="spellEnd"/>
      <w:r w:rsidRPr="00147BFB">
        <w:rPr>
          <w:rFonts w:asciiTheme="minorHAnsi" w:hAnsiTheme="minorHAnsi"/>
          <w:sz w:val="22"/>
          <w:szCs w:val="22"/>
        </w:rPr>
        <w:t xml:space="preserve">, S., </w:t>
      </w:r>
      <w:proofErr w:type="spellStart"/>
      <w:r w:rsidRPr="00147BFB">
        <w:rPr>
          <w:rFonts w:asciiTheme="minorHAnsi" w:hAnsiTheme="minorHAnsi"/>
          <w:sz w:val="22"/>
          <w:szCs w:val="22"/>
        </w:rPr>
        <w:t>Zucca</w:t>
      </w:r>
      <w:proofErr w:type="spellEnd"/>
      <w:r w:rsidRPr="00147BFB">
        <w:rPr>
          <w:rFonts w:asciiTheme="minorHAnsi" w:hAnsiTheme="minorHAnsi"/>
          <w:sz w:val="22"/>
          <w:szCs w:val="22"/>
        </w:rPr>
        <w:t xml:space="preserve">, C., Grainger, A., </w:t>
      </w:r>
      <w:proofErr w:type="spellStart"/>
      <w:r w:rsidRPr="00147BFB">
        <w:rPr>
          <w:rFonts w:asciiTheme="minorHAnsi" w:hAnsiTheme="minorHAnsi"/>
          <w:sz w:val="22"/>
          <w:szCs w:val="22"/>
        </w:rPr>
        <w:t>Cherlet</w:t>
      </w:r>
      <w:proofErr w:type="spellEnd"/>
      <w:r w:rsidRPr="00147BFB">
        <w:rPr>
          <w:rFonts w:asciiTheme="minorHAnsi" w:hAnsiTheme="minorHAnsi"/>
          <w:sz w:val="22"/>
          <w:szCs w:val="22"/>
        </w:rPr>
        <w:t xml:space="preserve">, M., </w:t>
      </w:r>
      <w:proofErr w:type="spellStart"/>
      <w:r w:rsidRPr="00147BFB">
        <w:rPr>
          <w:rFonts w:asciiTheme="minorHAnsi" w:hAnsiTheme="minorHAnsi"/>
          <w:sz w:val="22"/>
          <w:szCs w:val="22"/>
        </w:rPr>
        <w:t>Zougmore</w:t>
      </w:r>
      <w:proofErr w:type="spellEnd"/>
      <w:r w:rsidRPr="00147BFB">
        <w:rPr>
          <w:rFonts w:asciiTheme="minorHAnsi" w:hAnsiTheme="minorHAnsi"/>
          <w:sz w:val="22"/>
          <w:szCs w:val="22"/>
        </w:rPr>
        <w:t xml:space="preserve">, R., </w:t>
      </w:r>
      <w:proofErr w:type="spellStart"/>
      <w:r w:rsidRPr="00147BFB">
        <w:rPr>
          <w:rFonts w:asciiTheme="minorHAnsi" w:hAnsiTheme="minorHAnsi"/>
          <w:sz w:val="22"/>
          <w:szCs w:val="22"/>
        </w:rPr>
        <w:t>Sokona</w:t>
      </w:r>
      <w:proofErr w:type="spellEnd"/>
      <w:r w:rsidRPr="00147BFB">
        <w:rPr>
          <w:rFonts w:asciiTheme="minorHAnsi" w:hAnsiTheme="minorHAnsi"/>
          <w:sz w:val="22"/>
          <w:szCs w:val="22"/>
        </w:rPr>
        <w:t xml:space="preserve">, Y., Hill, J., Della </w:t>
      </w:r>
      <w:proofErr w:type="spellStart"/>
      <w:r w:rsidRPr="00147BFB">
        <w:rPr>
          <w:rFonts w:asciiTheme="minorHAnsi" w:hAnsiTheme="minorHAnsi"/>
          <w:sz w:val="22"/>
          <w:szCs w:val="22"/>
        </w:rPr>
        <w:t>Peruta</w:t>
      </w:r>
      <w:proofErr w:type="spellEnd"/>
      <w:r w:rsidRPr="00147BFB">
        <w:rPr>
          <w:rFonts w:asciiTheme="minorHAnsi" w:hAnsiTheme="minorHAnsi"/>
          <w:sz w:val="22"/>
          <w:szCs w:val="22"/>
        </w:rPr>
        <w:t xml:space="preserve">, R., </w:t>
      </w:r>
      <w:proofErr w:type="spellStart"/>
      <w:r w:rsidRPr="00147BFB">
        <w:rPr>
          <w:rFonts w:asciiTheme="minorHAnsi" w:hAnsiTheme="minorHAnsi"/>
          <w:sz w:val="22"/>
          <w:szCs w:val="22"/>
        </w:rPr>
        <w:t>Roehrig</w:t>
      </w:r>
      <w:proofErr w:type="spellEnd"/>
      <w:r w:rsidRPr="00147BFB">
        <w:rPr>
          <w:rFonts w:asciiTheme="minorHAnsi" w:hAnsiTheme="minorHAnsi"/>
          <w:sz w:val="22"/>
          <w:szCs w:val="22"/>
        </w:rPr>
        <w:t>, J., Wang, G., 2011.</w:t>
      </w:r>
      <w:proofErr w:type="gramEnd"/>
      <w:r w:rsidRPr="00147BFB">
        <w:rPr>
          <w:rFonts w:asciiTheme="minorHAnsi" w:hAnsiTheme="minorHAnsi"/>
          <w:sz w:val="22"/>
          <w:szCs w:val="22"/>
        </w:rPr>
        <w:t xml:space="preserve"> </w:t>
      </w:r>
      <w:proofErr w:type="gramStart"/>
      <w:r w:rsidRPr="00147BFB">
        <w:rPr>
          <w:rFonts w:asciiTheme="minorHAnsi" w:hAnsiTheme="minorHAnsi"/>
          <w:sz w:val="22"/>
          <w:szCs w:val="22"/>
        </w:rPr>
        <w:t>Application of indicator systems for monitoring and assessment of desertification from national to global scales.</w:t>
      </w:r>
      <w:proofErr w:type="gramEnd"/>
      <w:r w:rsidRPr="00147BFB">
        <w:rPr>
          <w:rFonts w:asciiTheme="minorHAnsi" w:hAnsiTheme="minorHAnsi"/>
          <w:sz w:val="22"/>
          <w:szCs w:val="22"/>
        </w:rPr>
        <w:t xml:space="preserve"> Land Degradation &amp; Development 22, 184-197.</w:t>
      </w:r>
    </w:p>
    <w:p w:rsidR="004F229F" w:rsidRPr="00147BFB" w:rsidRDefault="002A1C86" w:rsidP="00147BFB">
      <w:pPr>
        <w:spacing w:after="120" w:line="240" w:lineRule="auto"/>
      </w:pPr>
      <w:proofErr w:type="gramStart"/>
      <w:r w:rsidRPr="00147BFB">
        <w:t>UNCCD (United Nations Convention to Combat Desertification).</w:t>
      </w:r>
      <w:proofErr w:type="gramEnd"/>
      <w:r w:rsidRPr="00147BFB">
        <w:t xml:space="preserve"> 1994. Elaboration of an international convention to combat desertification in countries experiencing serious drought and/or desertification, particularly in Africa. </w:t>
      </w:r>
      <w:proofErr w:type="gramStart"/>
      <w:r w:rsidRPr="00147BFB">
        <w:t>Final text of the Convention.</w:t>
      </w:r>
      <w:proofErr w:type="gramEnd"/>
      <w:r w:rsidRPr="00147BFB">
        <w:t xml:space="preserve"> Available at: </w:t>
      </w:r>
      <w:r w:rsidR="004F229F" w:rsidRPr="00147BFB">
        <w:t>&lt;</w:t>
      </w:r>
      <w:hyperlink r:id="rId11" w:history="1">
        <w:r w:rsidR="00642DA6" w:rsidRPr="00147BFB">
          <w:rPr>
            <w:rStyle w:val="Hyperlink"/>
          </w:rPr>
          <w:t>http://www.unccd.int/Lists/SiteDocumentLibrary/conventionText/conv-eng.pdf</w:t>
        </w:r>
      </w:hyperlink>
      <w:r w:rsidR="004F229F" w:rsidRPr="00147BFB">
        <w:t>&gt;</w:t>
      </w:r>
    </w:p>
    <w:p w:rsidR="00642DA6" w:rsidRPr="00147BFB" w:rsidRDefault="00642DA6" w:rsidP="00147BFB">
      <w:pPr>
        <w:spacing w:after="120" w:line="240" w:lineRule="auto"/>
      </w:pPr>
      <w:proofErr w:type="gramStart"/>
      <w:r w:rsidRPr="00147BFB">
        <w:t>UNCCD.</w:t>
      </w:r>
      <w:proofErr w:type="gramEnd"/>
      <w:r w:rsidRPr="00147BFB">
        <w:t xml:space="preserve"> </w:t>
      </w:r>
      <w:proofErr w:type="gramStart"/>
      <w:r w:rsidRPr="00147BFB">
        <w:t>2013</w:t>
      </w:r>
      <w:r w:rsidR="00BA1203">
        <w:t>a</w:t>
      </w:r>
      <w:r w:rsidRPr="00147BFB">
        <w:t>. Refinement of the set of impact indicators on strategic objectives 1, 2 and 3.</w:t>
      </w:r>
      <w:proofErr w:type="gramEnd"/>
      <w:r w:rsidRPr="00147BFB">
        <w:t xml:space="preserve"> </w:t>
      </w:r>
      <w:proofErr w:type="gramStart"/>
      <w:r w:rsidRPr="00147BFB">
        <w:t>Recommendations of the ad hoc advisory group of technical experts.</w:t>
      </w:r>
      <w:proofErr w:type="gramEnd"/>
      <w:r w:rsidRPr="00147BFB">
        <w:t xml:space="preserve"> ICCD/</w:t>
      </w:r>
      <w:proofErr w:type="gramStart"/>
      <w:r w:rsidRPr="00147BFB">
        <w:t>COP(</w:t>
      </w:r>
      <w:proofErr w:type="gramEnd"/>
      <w:r w:rsidRPr="00147BFB">
        <w:t xml:space="preserve">11)/CST/2. UNCCD, Bonn. Available at: </w:t>
      </w:r>
      <w:r w:rsidR="00C65BD5" w:rsidRPr="00147BFB">
        <w:t>&lt;</w:t>
      </w:r>
      <w:hyperlink r:id="rId12" w:history="1">
        <w:r w:rsidR="004F229F" w:rsidRPr="00147BFB">
          <w:rPr>
            <w:rStyle w:val="Hyperlink"/>
          </w:rPr>
          <w:t>http://www.unccd.int/Lists/OfficialDocuments/cop11/cst2eng.pdf</w:t>
        </w:r>
      </w:hyperlink>
      <w:r w:rsidR="00C65BD5" w:rsidRPr="00147BFB">
        <w:t>&gt;</w:t>
      </w:r>
    </w:p>
    <w:p w:rsidR="00BA1203" w:rsidRPr="00147BFB" w:rsidRDefault="00BA1203" w:rsidP="00BA1203">
      <w:pPr>
        <w:spacing w:after="120" w:line="240" w:lineRule="auto"/>
      </w:pPr>
      <w:proofErr w:type="gramStart"/>
      <w:r w:rsidRPr="00147BFB">
        <w:lastRenderedPageBreak/>
        <w:t>UNCCD.</w:t>
      </w:r>
      <w:proofErr w:type="gramEnd"/>
      <w:r w:rsidRPr="00147BFB">
        <w:t xml:space="preserve"> 2013</w:t>
      </w:r>
      <w:r>
        <w:t>b</w:t>
      </w:r>
      <w:r w:rsidRPr="00147BFB">
        <w:t>. Decision 22/COP.11. Advice on how best to measure progress on strategic objectives 1, 2 and 3 of The Strategy. UNCCD, Bonn. Available at: &lt;http://www.unccd.int/en/programmes/Science/Monitoring-Assessment/Documents/Decision22-COP11.pdf&gt;</w:t>
      </w:r>
    </w:p>
    <w:p w:rsidR="008728C7" w:rsidRPr="00147BFB" w:rsidRDefault="008728C7" w:rsidP="00147BFB">
      <w:pPr>
        <w:pStyle w:val="Default"/>
        <w:spacing w:after="120"/>
        <w:rPr>
          <w:rFonts w:asciiTheme="minorHAnsi" w:hAnsiTheme="minorHAnsi"/>
          <w:sz w:val="22"/>
          <w:szCs w:val="22"/>
        </w:rPr>
      </w:pPr>
      <w:r w:rsidRPr="00E0014C">
        <w:rPr>
          <w:rFonts w:asciiTheme="minorHAnsi" w:hAnsiTheme="minorHAnsi"/>
          <w:sz w:val="22"/>
          <w:szCs w:val="22"/>
          <w:lang w:val="es-CL"/>
        </w:rPr>
        <w:t xml:space="preserve">Vlek, P., Le, Q.B., Tamene, L., 2010. </w:t>
      </w:r>
      <w:proofErr w:type="gramStart"/>
      <w:r w:rsidRPr="00147BFB">
        <w:rPr>
          <w:rFonts w:asciiTheme="minorHAnsi" w:hAnsiTheme="minorHAnsi"/>
          <w:sz w:val="22"/>
          <w:szCs w:val="22"/>
        </w:rPr>
        <w:t>Assessment of land degradation, its possible causes and threat to food security in Sub-Saharan Africa.</w:t>
      </w:r>
      <w:proofErr w:type="gramEnd"/>
      <w:r w:rsidRPr="00147BFB">
        <w:rPr>
          <w:rFonts w:asciiTheme="minorHAnsi" w:hAnsiTheme="minorHAnsi"/>
          <w:sz w:val="22"/>
          <w:szCs w:val="22"/>
        </w:rPr>
        <w:t xml:space="preserve"> In: </w:t>
      </w:r>
      <w:proofErr w:type="spellStart"/>
      <w:r w:rsidRPr="00147BFB">
        <w:rPr>
          <w:rFonts w:asciiTheme="minorHAnsi" w:hAnsiTheme="minorHAnsi"/>
          <w:sz w:val="22"/>
          <w:szCs w:val="22"/>
        </w:rPr>
        <w:t>Lal</w:t>
      </w:r>
      <w:proofErr w:type="spellEnd"/>
      <w:r w:rsidRPr="00147BFB">
        <w:rPr>
          <w:rFonts w:asciiTheme="minorHAnsi" w:hAnsiTheme="minorHAnsi"/>
          <w:sz w:val="22"/>
          <w:szCs w:val="22"/>
        </w:rPr>
        <w:t>, R., Stewart, B.A. (Eds.), Food Security and Soil Quality. CRC Press, Boca Raton, Florida, pp. 57 - 86.</w:t>
      </w:r>
    </w:p>
    <w:p w:rsidR="008728C7" w:rsidRPr="00147BFB" w:rsidRDefault="008728C7" w:rsidP="00147BFB">
      <w:pPr>
        <w:pStyle w:val="Default"/>
        <w:spacing w:after="120"/>
        <w:rPr>
          <w:rFonts w:asciiTheme="minorHAnsi" w:hAnsiTheme="minorHAnsi"/>
          <w:sz w:val="22"/>
          <w:szCs w:val="22"/>
        </w:rPr>
      </w:pPr>
      <w:proofErr w:type="gramStart"/>
      <w:r w:rsidRPr="00147BFB">
        <w:rPr>
          <w:rFonts w:asciiTheme="minorHAnsi" w:hAnsiTheme="minorHAnsi"/>
          <w:sz w:val="22"/>
          <w:szCs w:val="22"/>
        </w:rPr>
        <w:t xml:space="preserve">Vogt, J.V., </w:t>
      </w:r>
      <w:proofErr w:type="spellStart"/>
      <w:r w:rsidRPr="00147BFB">
        <w:rPr>
          <w:rFonts w:asciiTheme="minorHAnsi" w:hAnsiTheme="minorHAnsi"/>
          <w:sz w:val="22"/>
          <w:szCs w:val="22"/>
        </w:rPr>
        <w:t>Safriel</w:t>
      </w:r>
      <w:proofErr w:type="spellEnd"/>
      <w:r w:rsidRPr="00147BFB">
        <w:rPr>
          <w:rFonts w:asciiTheme="minorHAnsi" w:hAnsiTheme="minorHAnsi"/>
          <w:sz w:val="22"/>
          <w:szCs w:val="22"/>
        </w:rPr>
        <w:t xml:space="preserve">, U., </w:t>
      </w:r>
      <w:proofErr w:type="spellStart"/>
      <w:r w:rsidRPr="00147BFB">
        <w:rPr>
          <w:rFonts w:asciiTheme="minorHAnsi" w:hAnsiTheme="minorHAnsi"/>
          <w:sz w:val="22"/>
          <w:szCs w:val="22"/>
        </w:rPr>
        <w:t>Maltitz</w:t>
      </w:r>
      <w:proofErr w:type="spellEnd"/>
      <w:r w:rsidRPr="00147BFB">
        <w:rPr>
          <w:rFonts w:asciiTheme="minorHAnsi" w:hAnsiTheme="minorHAnsi"/>
          <w:sz w:val="22"/>
          <w:szCs w:val="22"/>
        </w:rPr>
        <w:t xml:space="preserve">, G.V., </w:t>
      </w:r>
      <w:proofErr w:type="spellStart"/>
      <w:r w:rsidRPr="00147BFB">
        <w:rPr>
          <w:rFonts w:asciiTheme="minorHAnsi" w:hAnsiTheme="minorHAnsi"/>
          <w:sz w:val="22"/>
          <w:szCs w:val="22"/>
        </w:rPr>
        <w:t>Sokona</w:t>
      </w:r>
      <w:proofErr w:type="spellEnd"/>
      <w:r w:rsidRPr="00147BFB">
        <w:rPr>
          <w:rFonts w:asciiTheme="minorHAnsi" w:hAnsiTheme="minorHAnsi"/>
          <w:sz w:val="22"/>
          <w:szCs w:val="22"/>
        </w:rPr>
        <w:t xml:space="preserve">, Y., </w:t>
      </w:r>
      <w:proofErr w:type="spellStart"/>
      <w:r w:rsidRPr="00147BFB">
        <w:rPr>
          <w:rFonts w:asciiTheme="minorHAnsi" w:hAnsiTheme="minorHAnsi"/>
          <w:sz w:val="22"/>
          <w:szCs w:val="22"/>
        </w:rPr>
        <w:t>Zougmore</w:t>
      </w:r>
      <w:proofErr w:type="spellEnd"/>
      <w:r w:rsidRPr="00147BFB">
        <w:rPr>
          <w:rFonts w:asciiTheme="minorHAnsi" w:hAnsiTheme="minorHAnsi"/>
          <w:sz w:val="22"/>
          <w:szCs w:val="22"/>
        </w:rPr>
        <w:t xml:space="preserve">, R., </w:t>
      </w:r>
      <w:proofErr w:type="spellStart"/>
      <w:r w:rsidRPr="00147BFB">
        <w:rPr>
          <w:rFonts w:asciiTheme="minorHAnsi" w:hAnsiTheme="minorHAnsi"/>
          <w:sz w:val="22"/>
          <w:szCs w:val="22"/>
        </w:rPr>
        <w:t>Bastin</w:t>
      </w:r>
      <w:proofErr w:type="spellEnd"/>
      <w:r w:rsidRPr="00147BFB">
        <w:rPr>
          <w:rFonts w:asciiTheme="minorHAnsi" w:hAnsiTheme="minorHAnsi"/>
          <w:sz w:val="22"/>
          <w:szCs w:val="22"/>
        </w:rPr>
        <w:t>, G., Hill, J., 2011.</w:t>
      </w:r>
      <w:proofErr w:type="gramEnd"/>
      <w:r w:rsidRPr="00147BFB">
        <w:rPr>
          <w:rFonts w:asciiTheme="minorHAnsi" w:hAnsiTheme="minorHAnsi"/>
          <w:sz w:val="22"/>
          <w:szCs w:val="22"/>
        </w:rPr>
        <w:t xml:space="preserve"> Monitoring and assessment of land degradation and desertification: Towards new conceptual and integrated approaches. Land Degradation and Development 22, 150–165.</w:t>
      </w:r>
    </w:p>
    <w:p w:rsidR="008728C7" w:rsidRPr="00147BFB" w:rsidRDefault="008728C7" w:rsidP="00147BFB">
      <w:pPr>
        <w:pStyle w:val="Default"/>
        <w:spacing w:after="120"/>
        <w:rPr>
          <w:rFonts w:asciiTheme="minorHAnsi" w:hAnsiTheme="minorHAnsi"/>
          <w:sz w:val="22"/>
          <w:szCs w:val="22"/>
        </w:rPr>
      </w:pPr>
      <w:r w:rsidRPr="00147BFB">
        <w:rPr>
          <w:rFonts w:asciiTheme="minorHAnsi" w:hAnsiTheme="minorHAnsi"/>
          <w:sz w:val="22"/>
          <w:szCs w:val="22"/>
        </w:rPr>
        <w:t xml:space="preserve">Vu, Q.M., Le, Q.B., </w:t>
      </w:r>
      <w:proofErr w:type="spellStart"/>
      <w:r w:rsidRPr="00147BFB">
        <w:rPr>
          <w:rFonts w:asciiTheme="minorHAnsi" w:hAnsiTheme="minorHAnsi"/>
          <w:sz w:val="22"/>
          <w:szCs w:val="22"/>
        </w:rPr>
        <w:t>Frossard</w:t>
      </w:r>
      <w:proofErr w:type="spellEnd"/>
      <w:r w:rsidRPr="00147BFB">
        <w:rPr>
          <w:rFonts w:asciiTheme="minorHAnsi" w:hAnsiTheme="minorHAnsi"/>
          <w:sz w:val="22"/>
          <w:szCs w:val="22"/>
        </w:rPr>
        <w:t xml:space="preserve">, E., </w:t>
      </w:r>
      <w:proofErr w:type="spellStart"/>
      <w:r w:rsidRPr="00147BFB">
        <w:rPr>
          <w:rFonts w:asciiTheme="minorHAnsi" w:hAnsiTheme="minorHAnsi"/>
          <w:sz w:val="22"/>
          <w:szCs w:val="22"/>
        </w:rPr>
        <w:t>Vlek</w:t>
      </w:r>
      <w:proofErr w:type="spellEnd"/>
      <w:r w:rsidRPr="00147BFB">
        <w:rPr>
          <w:rFonts w:asciiTheme="minorHAnsi" w:hAnsiTheme="minorHAnsi"/>
          <w:sz w:val="22"/>
          <w:szCs w:val="22"/>
        </w:rPr>
        <w:t>, P.L.G., 2014. Socio-economic and biophysical determinants of land degradation in Vietnam: An integrated causal analysis at the national level. Land Use Policy 36, 605-617.</w:t>
      </w:r>
    </w:p>
    <w:p w:rsidR="008728C7" w:rsidRPr="00147BFB" w:rsidRDefault="008728C7" w:rsidP="00147BFB">
      <w:pPr>
        <w:pStyle w:val="Default"/>
        <w:spacing w:after="120"/>
        <w:rPr>
          <w:rFonts w:asciiTheme="minorHAnsi" w:hAnsiTheme="minorHAnsi"/>
          <w:sz w:val="22"/>
          <w:szCs w:val="22"/>
        </w:rPr>
      </w:pPr>
      <w:proofErr w:type="spellStart"/>
      <w:proofErr w:type="gramStart"/>
      <w:r w:rsidRPr="00147BFB">
        <w:rPr>
          <w:rFonts w:asciiTheme="minorHAnsi" w:hAnsiTheme="minorHAnsi"/>
          <w:sz w:val="22"/>
          <w:szCs w:val="22"/>
        </w:rPr>
        <w:t>Yengoh</w:t>
      </w:r>
      <w:proofErr w:type="spellEnd"/>
      <w:r w:rsidRPr="00147BFB">
        <w:rPr>
          <w:rFonts w:asciiTheme="minorHAnsi" w:hAnsiTheme="minorHAnsi"/>
          <w:sz w:val="22"/>
          <w:szCs w:val="22"/>
        </w:rPr>
        <w:t xml:space="preserve"> Genesis T., David Dent, Lennart Olsson, Anna E. </w:t>
      </w:r>
      <w:proofErr w:type="spellStart"/>
      <w:r w:rsidRPr="00147BFB">
        <w:rPr>
          <w:rFonts w:asciiTheme="minorHAnsi" w:hAnsiTheme="minorHAnsi"/>
          <w:sz w:val="22"/>
          <w:szCs w:val="22"/>
        </w:rPr>
        <w:t>Tengberg</w:t>
      </w:r>
      <w:proofErr w:type="spellEnd"/>
      <w:r w:rsidRPr="00147BFB">
        <w:rPr>
          <w:rFonts w:asciiTheme="minorHAnsi" w:hAnsiTheme="minorHAnsi"/>
          <w:sz w:val="22"/>
          <w:szCs w:val="22"/>
        </w:rPr>
        <w:t xml:space="preserve"> and Compton J. Tucker (2014).</w:t>
      </w:r>
      <w:proofErr w:type="gramEnd"/>
      <w:r w:rsidRPr="00147BFB">
        <w:rPr>
          <w:rFonts w:asciiTheme="minorHAnsi" w:hAnsiTheme="minorHAnsi"/>
          <w:sz w:val="22"/>
          <w:szCs w:val="22"/>
        </w:rPr>
        <w:t xml:space="preserve"> The use of the Normalized Difference Vegetation Index (NDVI) to assess land degradation at multiple scales: a review of the current status, future trends, and practical considerations. Lund University Center for Sustainability Studies (LUCSUS), and </w:t>
      </w:r>
      <w:proofErr w:type="gramStart"/>
      <w:r w:rsidRPr="00147BFB">
        <w:rPr>
          <w:rFonts w:asciiTheme="minorHAnsi" w:hAnsiTheme="minorHAnsi"/>
          <w:sz w:val="22"/>
          <w:szCs w:val="22"/>
        </w:rPr>
        <w:t>The</w:t>
      </w:r>
      <w:proofErr w:type="gramEnd"/>
      <w:r w:rsidRPr="00147BFB">
        <w:rPr>
          <w:rFonts w:asciiTheme="minorHAnsi" w:hAnsiTheme="minorHAnsi"/>
          <w:sz w:val="22"/>
          <w:szCs w:val="22"/>
        </w:rPr>
        <w:t xml:space="preserve"> Scientific and Technical Advisory Panel of the Global Environment Facility (STAP/GEF).</w:t>
      </w:r>
    </w:p>
    <w:p w:rsidR="009922B6" w:rsidRDefault="00A964AA" w:rsidP="00147BFB">
      <w:pPr>
        <w:spacing w:after="0" w:line="240" w:lineRule="auto"/>
        <w:jc w:val="center"/>
      </w:pPr>
      <w:r>
        <w:t>- - - - -</w:t>
      </w:r>
    </w:p>
    <w:sectPr w:rsidR="009922B6" w:rsidSect="004C6139">
      <w:footerReference w:type="default" r:id="rId13"/>
      <w:pgSz w:w="11906" w:h="16838" w:code="9"/>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AED" w:rsidRDefault="00501AED" w:rsidP="004C6139">
      <w:pPr>
        <w:spacing w:after="0" w:line="240" w:lineRule="auto"/>
      </w:pPr>
      <w:r>
        <w:separator/>
      </w:r>
    </w:p>
  </w:endnote>
  <w:endnote w:type="continuationSeparator" w:id="0">
    <w:p w:rsidR="00501AED" w:rsidRDefault="00501AED" w:rsidP="004C6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10022FF" w:usb1="C000E47F" w:usb2="00000029" w:usb3="00000000" w:csb0="000001D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39" w:rsidRDefault="004C6139">
    <w:pPr>
      <w:pStyle w:val="Footer"/>
    </w:pPr>
  </w:p>
  <w:p w:rsidR="004C6139" w:rsidRPr="004C6139" w:rsidRDefault="004C6139" w:rsidP="004C6139">
    <w:pPr>
      <w:pStyle w:val="Footer"/>
      <w:jc w:val="right"/>
      <w:rPr>
        <w:sz w:val="16"/>
        <w:szCs w:val="16"/>
      </w:rPr>
    </w:pPr>
    <w:r w:rsidRPr="004C6139">
      <w:rPr>
        <w:sz w:val="16"/>
        <w:szCs w:val="16"/>
      </w:rPr>
      <w:t xml:space="preserve">Provision of metadata - Indicator: Trends in land degradation - UNCCD - Page </w:t>
    </w:r>
    <w:r w:rsidRPr="004C6139">
      <w:rPr>
        <w:sz w:val="16"/>
        <w:szCs w:val="16"/>
      </w:rPr>
      <w:fldChar w:fldCharType="begin"/>
    </w:r>
    <w:r w:rsidRPr="004C6139">
      <w:rPr>
        <w:sz w:val="16"/>
        <w:szCs w:val="16"/>
      </w:rPr>
      <w:instrText xml:space="preserve"> PAGE   \* MERGEFORMAT </w:instrText>
    </w:r>
    <w:r w:rsidRPr="004C6139">
      <w:rPr>
        <w:sz w:val="16"/>
        <w:szCs w:val="16"/>
      </w:rPr>
      <w:fldChar w:fldCharType="separate"/>
    </w:r>
    <w:r w:rsidR="00E0014C">
      <w:rPr>
        <w:noProof/>
        <w:sz w:val="16"/>
        <w:szCs w:val="16"/>
      </w:rPr>
      <w:t>2</w:t>
    </w:r>
    <w:r w:rsidRPr="004C6139">
      <w:rPr>
        <w:noProof/>
        <w:sz w:val="16"/>
        <w:szCs w:val="16"/>
      </w:rPr>
      <w:fldChar w:fldCharType="end"/>
    </w:r>
  </w:p>
  <w:p w:rsidR="004C6139" w:rsidRPr="004C6139" w:rsidRDefault="004C6139" w:rsidP="004C6139">
    <w:pPr>
      <w:pStyle w:val="Footer"/>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AED" w:rsidRDefault="00501AED" w:rsidP="004C6139">
      <w:pPr>
        <w:spacing w:after="0" w:line="240" w:lineRule="auto"/>
      </w:pPr>
      <w:r>
        <w:separator/>
      </w:r>
    </w:p>
  </w:footnote>
  <w:footnote w:type="continuationSeparator" w:id="0">
    <w:p w:rsidR="00501AED" w:rsidRDefault="00501AED" w:rsidP="004C61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216"/>
        </w:tabs>
        <w:ind w:left="216" w:hanging="216"/>
      </w:pPr>
      <w:rPr>
        <w:rFonts w:ascii="Segoe UI" w:hAnsi="Segoe UI" w:cs="OpenSymbol"/>
      </w:rPr>
    </w:lvl>
    <w:lvl w:ilvl="1">
      <w:start w:val="1"/>
      <w:numFmt w:val="bullet"/>
      <w:lvlText w:val="▫"/>
      <w:lvlJc w:val="left"/>
      <w:pPr>
        <w:tabs>
          <w:tab w:val="num" w:pos="432"/>
        </w:tabs>
        <w:ind w:left="432" w:hanging="216"/>
      </w:pPr>
      <w:rPr>
        <w:rFonts w:ascii="Segoe UI" w:hAnsi="Segoe UI" w:cs="OpenSymbol"/>
      </w:rPr>
    </w:lvl>
    <w:lvl w:ilvl="2">
      <w:start w:val="1"/>
      <w:numFmt w:val="bullet"/>
      <w:lvlText w:val="▪"/>
      <w:lvlJc w:val="left"/>
      <w:pPr>
        <w:tabs>
          <w:tab w:val="num" w:pos="648"/>
        </w:tabs>
        <w:ind w:left="648" w:hanging="216"/>
      </w:pPr>
      <w:rPr>
        <w:rFonts w:ascii="Segoe UI" w:hAnsi="Segoe UI" w:cs="OpenSymbol"/>
      </w:rPr>
    </w:lvl>
    <w:lvl w:ilvl="3">
      <w:start w:val="1"/>
      <w:numFmt w:val="bullet"/>
      <w:lvlText w:val="▫"/>
      <w:lvlJc w:val="left"/>
      <w:pPr>
        <w:tabs>
          <w:tab w:val="num" w:pos="864"/>
        </w:tabs>
        <w:ind w:left="864" w:hanging="216"/>
      </w:pPr>
      <w:rPr>
        <w:rFonts w:ascii="Segoe UI" w:hAnsi="Segoe UI" w:cs="OpenSymbol"/>
      </w:rPr>
    </w:lvl>
    <w:lvl w:ilvl="4">
      <w:start w:val="1"/>
      <w:numFmt w:val="bullet"/>
      <w:lvlText w:val="▪"/>
      <w:lvlJc w:val="left"/>
      <w:pPr>
        <w:tabs>
          <w:tab w:val="num" w:pos="1080"/>
        </w:tabs>
        <w:ind w:left="1080" w:hanging="216"/>
      </w:pPr>
      <w:rPr>
        <w:rFonts w:ascii="Segoe UI" w:hAnsi="Segoe UI" w:cs="OpenSymbol"/>
      </w:rPr>
    </w:lvl>
    <w:lvl w:ilvl="5">
      <w:start w:val="1"/>
      <w:numFmt w:val="bullet"/>
      <w:lvlText w:val="▫"/>
      <w:lvlJc w:val="left"/>
      <w:pPr>
        <w:tabs>
          <w:tab w:val="num" w:pos="1296"/>
        </w:tabs>
        <w:ind w:left="1296" w:hanging="216"/>
      </w:pPr>
      <w:rPr>
        <w:rFonts w:ascii="Segoe UI" w:hAnsi="Segoe UI" w:cs="OpenSymbol"/>
      </w:rPr>
    </w:lvl>
    <w:lvl w:ilvl="6">
      <w:start w:val="1"/>
      <w:numFmt w:val="bullet"/>
      <w:lvlText w:val="▪"/>
      <w:lvlJc w:val="left"/>
      <w:pPr>
        <w:tabs>
          <w:tab w:val="num" w:pos="1512"/>
        </w:tabs>
        <w:ind w:left="1512" w:hanging="216"/>
      </w:pPr>
      <w:rPr>
        <w:rFonts w:ascii="Segoe UI" w:hAnsi="Segoe UI" w:cs="OpenSymbol"/>
      </w:rPr>
    </w:lvl>
    <w:lvl w:ilvl="7">
      <w:start w:val="1"/>
      <w:numFmt w:val="bullet"/>
      <w:lvlText w:val="▫"/>
      <w:lvlJc w:val="left"/>
      <w:pPr>
        <w:tabs>
          <w:tab w:val="num" w:pos="1728"/>
        </w:tabs>
        <w:ind w:left="1728" w:hanging="216"/>
      </w:pPr>
      <w:rPr>
        <w:rFonts w:ascii="Segoe UI" w:hAnsi="Segoe UI" w:cs="OpenSymbol"/>
      </w:rPr>
    </w:lvl>
    <w:lvl w:ilvl="8">
      <w:start w:val="1"/>
      <w:numFmt w:val="bullet"/>
      <w:lvlText w:val="▪"/>
      <w:lvlJc w:val="left"/>
      <w:pPr>
        <w:tabs>
          <w:tab w:val="num" w:pos="1944"/>
        </w:tabs>
        <w:ind w:left="1944" w:hanging="216"/>
      </w:pPr>
      <w:rPr>
        <w:rFonts w:ascii="Segoe UI" w:hAnsi="Segoe UI" w:cs="OpenSymbol"/>
      </w:rPr>
    </w:lvl>
  </w:abstractNum>
  <w:abstractNum w:abstractNumId="1">
    <w:nsid w:val="2E496013"/>
    <w:multiLevelType w:val="hybridMultilevel"/>
    <w:tmpl w:val="116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8A5EDA"/>
    <w:multiLevelType w:val="hybridMultilevel"/>
    <w:tmpl w:val="4134F23E"/>
    <w:lvl w:ilvl="0" w:tplc="04090013">
      <w:start w:val="1"/>
      <w:numFmt w:val="upp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4AA"/>
    <w:rsid w:val="00000FFA"/>
    <w:rsid w:val="000732C7"/>
    <w:rsid w:val="000C1258"/>
    <w:rsid w:val="000E3399"/>
    <w:rsid w:val="00137708"/>
    <w:rsid w:val="00147BFB"/>
    <w:rsid w:val="0015351A"/>
    <w:rsid w:val="0015351E"/>
    <w:rsid w:val="001571D8"/>
    <w:rsid w:val="001A6B27"/>
    <w:rsid w:val="001D750B"/>
    <w:rsid w:val="00251D90"/>
    <w:rsid w:val="002838A2"/>
    <w:rsid w:val="0028506F"/>
    <w:rsid w:val="002A1C86"/>
    <w:rsid w:val="002A6E07"/>
    <w:rsid w:val="002B1685"/>
    <w:rsid w:val="00306BDA"/>
    <w:rsid w:val="00320067"/>
    <w:rsid w:val="0037077D"/>
    <w:rsid w:val="003A49DA"/>
    <w:rsid w:val="00423B82"/>
    <w:rsid w:val="004276DF"/>
    <w:rsid w:val="00434A9C"/>
    <w:rsid w:val="00463E42"/>
    <w:rsid w:val="004642C6"/>
    <w:rsid w:val="004666C8"/>
    <w:rsid w:val="004C6139"/>
    <w:rsid w:val="004F229F"/>
    <w:rsid w:val="0050108A"/>
    <w:rsid w:val="00501AED"/>
    <w:rsid w:val="00555F95"/>
    <w:rsid w:val="00560AA4"/>
    <w:rsid w:val="00567F07"/>
    <w:rsid w:val="00577722"/>
    <w:rsid w:val="005956EC"/>
    <w:rsid w:val="005B462B"/>
    <w:rsid w:val="005D7E6E"/>
    <w:rsid w:val="005F2C87"/>
    <w:rsid w:val="00636EFE"/>
    <w:rsid w:val="00642DA6"/>
    <w:rsid w:val="00655868"/>
    <w:rsid w:val="00666034"/>
    <w:rsid w:val="00730B30"/>
    <w:rsid w:val="00800425"/>
    <w:rsid w:val="00810713"/>
    <w:rsid w:val="00816525"/>
    <w:rsid w:val="00833DCB"/>
    <w:rsid w:val="008728C7"/>
    <w:rsid w:val="008A20E3"/>
    <w:rsid w:val="008C5587"/>
    <w:rsid w:val="0091055C"/>
    <w:rsid w:val="00926F01"/>
    <w:rsid w:val="00982922"/>
    <w:rsid w:val="009922B6"/>
    <w:rsid w:val="009A4080"/>
    <w:rsid w:val="00A515F4"/>
    <w:rsid w:val="00A57E87"/>
    <w:rsid w:val="00A647DD"/>
    <w:rsid w:val="00A92E90"/>
    <w:rsid w:val="00A964AA"/>
    <w:rsid w:val="00AC6291"/>
    <w:rsid w:val="00B560D5"/>
    <w:rsid w:val="00BA1203"/>
    <w:rsid w:val="00BC19C5"/>
    <w:rsid w:val="00BC4166"/>
    <w:rsid w:val="00BE5790"/>
    <w:rsid w:val="00C65BD5"/>
    <w:rsid w:val="00C816E7"/>
    <w:rsid w:val="00CD779B"/>
    <w:rsid w:val="00CE1681"/>
    <w:rsid w:val="00CF2B13"/>
    <w:rsid w:val="00DB2942"/>
    <w:rsid w:val="00DB6E9E"/>
    <w:rsid w:val="00E0014C"/>
    <w:rsid w:val="00E01B97"/>
    <w:rsid w:val="00E223D6"/>
    <w:rsid w:val="00E479A3"/>
    <w:rsid w:val="00E75AEA"/>
    <w:rsid w:val="00E875C1"/>
    <w:rsid w:val="00ED3324"/>
    <w:rsid w:val="00F11655"/>
    <w:rsid w:val="00F3691E"/>
    <w:rsid w:val="00FA6CBB"/>
    <w:rsid w:val="00FC1C78"/>
    <w:rsid w:val="00FD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A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4AA"/>
    <w:pPr>
      <w:ind w:left="720"/>
      <w:contextualSpacing/>
    </w:pPr>
  </w:style>
  <w:style w:type="paragraph" w:styleId="BalloonText">
    <w:name w:val="Balloon Text"/>
    <w:basedOn w:val="Normal"/>
    <w:link w:val="BalloonTextChar"/>
    <w:uiPriority w:val="99"/>
    <w:semiHidden/>
    <w:unhideWhenUsed/>
    <w:rsid w:val="004642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2C6"/>
    <w:rPr>
      <w:rFonts w:ascii="Tahoma" w:hAnsi="Tahoma" w:cs="Tahoma"/>
      <w:sz w:val="16"/>
      <w:szCs w:val="16"/>
      <w:lang w:val="en-US"/>
    </w:rPr>
  </w:style>
  <w:style w:type="character" w:styleId="CommentReference">
    <w:name w:val="annotation reference"/>
    <w:basedOn w:val="DefaultParagraphFont"/>
    <w:uiPriority w:val="99"/>
    <w:semiHidden/>
    <w:unhideWhenUsed/>
    <w:rsid w:val="002A1C86"/>
    <w:rPr>
      <w:sz w:val="16"/>
      <w:szCs w:val="16"/>
    </w:rPr>
  </w:style>
  <w:style w:type="paragraph" w:styleId="CommentText">
    <w:name w:val="annotation text"/>
    <w:basedOn w:val="Normal"/>
    <w:link w:val="CommentTextChar"/>
    <w:uiPriority w:val="99"/>
    <w:semiHidden/>
    <w:unhideWhenUsed/>
    <w:rsid w:val="002A1C86"/>
    <w:pPr>
      <w:spacing w:line="240" w:lineRule="auto"/>
    </w:pPr>
    <w:rPr>
      <w:sz w:val="20"/>
      <w:szCs w:val="20"/>
    </w:rPr>
  </w:style>
  <w:style w:type="character" w:customStyle="1" w:styleId="CommentTextChar">
    <w:name w:val="Comment Text Char"/>
    <w:basedOn w:val="DefaultParagraphFont"/>
    <w:link w:val="CommentText"/>
    <w:uiPriority w:val="99"/>
    <w:semiHidden/>
    <w:rsid w:val="002A1C86"/>
    <w:rPr>
      <w:sz w:val="20"/>
      <w:szCs w:val="20"/>
      <w:lang w:val="en-US"/>
    </w:rPr>
  </w:style>
  <w:style w:type="paragraph" w:styleId="CommentSubject">
    <w:name w:val="annotation subject"/>
    <w:basedOn w:val="CommentText"/>
    <w:next w:val="CommentText"/>
    <w:link w:val="CommentSubjectChar"/>
    <w:uiPriority w:val="99"/>
    <w:semiHidden/>
    <w:unhideWhenUsed/>
    <w:rsid w:val="002A1C86"/>
    <w:rPr>
      <w:b/>
      <w:bCs/>
    </w:rPr>
  </w:style>
  <w:style w:type="character" w:customStyle="1" w:styleId="CommentSubjectChar">
    <w:name w:val="Comment Subject Char"/>
    <w:basedOn w:val="CommentTextChar"/>
    <w:link w:val="CommentSubject"/>
    <w:uiPriority w:val="99"/>
    <w:semiHidden/>
    <w:rsid w:val="002A1C86"/>
    <w:rPr>
      <w:b/>
      <w:bCs/>
      <w:sz w:val="20"/>
      <w:szCs w:val="20"/>
      <w:lang w:val="en-US"/>
    </w:rPr>
  </w:style>
  <w:style w:type="paragraph" w:styleId="Revision">
    <w:name w:val="Revision"/>
    <w:hidden/>
    <w:uiPriority w:val="99"/>
    <w:semiHidden/>
    <w:rsid w:val="00816525"/>
    <w:pPr>
      <w:spacing w:after="0" w:line="240" w:lineRule="auto"/>
    </w:pPr>
    <w:rPr>
      <w:lang w:val="en-US"/>
    </w:rPr>
  </w:style>
  <w:style w:type="paragraph" w:customStyle="1" w:styleId="Default">
    <w:name w:val="Default"/>
    <w:rsid w:val="00137708"/>
    <w:pPr>
      <w:autoSpaceDE w:val="0"/>
      <w:autoSpaceDN w:val="0"/>
      <w:adjustRightInd w:val="0"/>
      <w:spacing w:after="0" w:line="240" w:lineRule="auto"/>
    </w:pPr>
    <w:rPr>
      <w:rFonts w:ascii="Calibri" w:hAnsi="Calibri" w:cs="Calibri"/>
      <w:color w:val="000000"/>
      <w:sz w:val="24"/>
      <w:szCs w:val="24"/>
      <w:lang w:val="en-US"/>
    </w:rPr>
  </w:style>
  <w:style w:type="character" w:styleId="Hyperlink">
    <w:name w:val="Hyperlink"/>
    <w:basedOn w:val="DefaultParagraphFont"/>
    <w:uiPriority w:val="99"/>
    <w:unhideWhenUsed/>
    <w:rsid w:val="000C1258"/>
    <w:rPr>
      <w:color w:val="0000FF" w:themeColor="hyperlink"/>
      <w:u w:val="single"/>
    </w:rPr>
  </w:style>
  <w:style w:type="character" w:styleId="FollowedHyperlink">
    <w:name w:val="FollowedHyperlink"/>
    <w:basedOn w:val="DefaultParagraphFont"/>
    <w:uiPriority w:val="99"/>
    <w:semiHidden/>
    <w:unhideWhenUsed/>
    <w:rsid w:val="000C1258"/>
    <w:rPr>
      <w:color w:val="800080" w:themeColor="followedHyperlink"/>
      <w:u w:val="single"/>
    </w:rPr>
  </w:style>
  <w:style w:type="paragraph" w:styleId="Header">
    <w:name w:val="header"/>
    <w:basedOn w:val="Normal"/>
    <w:link w:val="HeaderChar"/>
    <w:uiPriority w:val="99"/>
    <w:unhideWhenUsed/>
    <w:rsid w:val="004C61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139"/>
    <w:rPr>
      <w:lang w:val="en-US"/>
    </w:rPr>
  </w:style>
  <w:style w:type="paragraph" w:styleId="Footer">
    <w:name w:val="footer"/>
    <w:basedOn w:val="Normal"/>
    <w:link w:val="FooterChar"/>
    <w:uiPriority w:val="99"/>
    <w:unhideWhenUsed/>
    <w:rsid w:val="004C61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139"/>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4A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4AA"/>
    <w:pPr>
      <w:ind w:left="720"/>
      <w:contextualSpacing/>
    </w:pPr>
  </w:style>
  <w:style w:type="paragraph" w:styleId="BalloonText">
    <w:name w:val="Balloon Text"/>
    <w:basedOn w:val="Normal"/>
    <w:link w:val="BalloonTextChar"/>
    <w:uiPriority w:val="99"/>
    <w:semiHidden/>
    <w:unhideWhenUsed/>
    <w:rsid w:val="004642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2C6"/>
    <w:rPr>
      <w:rFonts w:ascii="Tahoma" w:hAnsi="Tahoma" w:cs="Tahoma"/>
      <w:sz w:val="16"/>
      <w:szCs w:val="16"/>
      <w:lang w:val="en-US"/>
    </w:rPr>
  </w:style>
  <w:style w:type="character" w:styleId="CommentReference">
    <w:name w:val="annotation reference"/>
    <w:basedOn w:val="DefaultParagraphFont"/>
    <w:uiPriority w:val="99"/>
    <w:semiHidden/>
    <w:unhideWhenUsed/>
    <w:rsid w:val="002A1C86"/>
    <w:rPr>
      <w:sz w:val="16"/>
      <w:szCs w:val="16"/>
    </w:rPr>
  </w:style>
  <w:style w:type="paragraph" w:styleId="CommentText">
    <w:name w:val="annotation text"/>
    <w:basedOn w:val="Normal"/>
    <w:link w:val="CommentTextChar"/>
    <w:uiPriority w:val="99"/>
    <w:semiHidden/>
    <w:unhideWhenUsed/>
    <w:rsid w:val="002A1C86"/>
    <w:pPr>
      <w:spacing w:line="240" w:lineRule="auto"/>
    </w:pPr>
    <w:rPr>
      <w:sz w:val="20"/>
      <w:szCs w:val="20"/>
    </w:rPr>
  </w:style>
  <w:style w:type="character" w:customStyle="1" w:styleId="CommentTextChar">
    <w:name w:val="Comment Text Char"/>
    <w:basedOn w:val="DefaultParagraphFont"/>
    <w:link w:val="CommentText"/>
    <w:uiPriority w:val="99"/>
    <w:semiHidden/>
    <w:rsid w:val="002A1C86"/>
    <w:rPr>
      <w:sz w:val="20"/>
      <w:szCs w:val="20"/>
      <w:lang w:val="en-US"/>
    </w:rPr>
  </w:style>
  <w:style w:type="paragraph" w:styleId="CommentSubject">
    <w:name w:val="annotation subject"/>
    <w:basedOn w:val="CommentText"/>
    <w:next w:val="CommentText"/>
    <w:link w:val="CommentSubjectChar"/>
    <w:uiPriority w:val="99"/>
    <w:semiHidden/>
    <w:unhideWhenUsed/>
    <w:rsid w:val="002A1C86"/>
    <w:rPr>
      <w:b/>
      <w:bCs/>
    </w:rPr>
  </w:style>
  <w:style w:type="character" w:customStyle="1" w:styleId="CommentSubjectChar">
    <w:name w:val="Comment Subject Char"/>
    <w:basedOn w:val="CommentTextChar"/>
    <w:link w:val="CommentSubject"/>
    <w:uiPriority w:val="99"/>
    <w:semiHidden/>
    <w:rsid w:val="002A1C86"/>
    <w:rPr>
      <w:b/>
      <w:bCs/>
      <w:sz w:val="20"/>
      <w:szCs w:val="20"/>
      <w:lang w:val="en-US"/>
    </w:rPr>
  </w:style>
  <w:style w:type="paragraph" w:styleId="Revision">
    <w:name w:val="Revision"/>
    <w:hidden/>
    <w:uiPriority w:val="99"/>
    <w:semiHidden/>
    <w:rsid w:val="00816525"/>
    <w:pPr>
      <w:spacing w:after="0" w:line="240" w:lineRule="auto"/>
    </w:pPr>
    <w:rPr>
      <w:lang w:val="en-US"/>
    </w:rPr>
  </w:style>
  <w:style w:type="paragraph" w:customStyle="1" w:styleId="Default">
    <w:name w:val="Default"/>
    <w:rsid w:val="00137708"/>
    <w:pPr>
      <w:autoSpaceDE w:val="0"/>
      <w:autoSpaceDN w:val="0"/>
      <w:adjustRightInd w:val="0"/>
      <w:spacing w:after="0" w:line="240" w:lineRule="auto"/>
    </w:pPr>
    <w:rPr>
      <w:rFonts w:ascii="Calibri" w:hAnsi="Calibri" w:cs="Calibri"/>
      <w:color w:val="000000"/>
      <w:sz w:val="24"/>
      <w:szCs w:val="24"/>
      <w:lang w:val="en-US"/>
    </w:rPr>
  </w:style>
  <w:style w:type="character" w:styleId="Hyperlink">
    <w:name w:val="Hyperlink"/>
    <w:basedOn w:val="DefaultParagraphFont"/>
    <w:uiPriority w:val="99"/>
    <w:unhideWhenUsed/>
    <w:rsid w:val="000C1258"/>
    <w:rPr>
      <w:color w:val="0000FF" w:themeColor="hyperlink"/>
      <w:u w:val="single"/>
    </w:rPr>
  </w:style>
  <w:style w:type="character" w:styleId="FollowedHyperlink">
    <w:name w:val="FollowedHyperlink"/>
    <w:basedOn w:val="DefaultParagraphFont"/>
    <w:uiPriority w:val="99"/>
    <w:semiHidden/>
    <w:unhideWhenUsed/>
    <w:rsid w:val="000C1258"/>
    <w:rPr>
      <w:color w:val="800080" w:themeColor="followedHyperlink"/>
      <w:u w:val="single"/>
    </w:rPr>
  </w:style>
  <w:style w:type="paragraph" w:styleId="Header">
    <w:name w:val="header"/>
    <w:basedOn w:val="Normal"/>
    <w:link w:val="HeaderChar"/>
    <w:uiPriority w:val="99"/>
    <w:unhideWhenUsed/>
    <w:rsid w:val="004C61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139"/>
    <w:rPr>
      <w:lang w:val="en-US"/>
    </w:rPr>
  </w:style>
  <w:style w:type="paragraph" w:styleId="Footer">
    <w:name w:val="footer"/>
    <w:basedOn w:val="Normal"/>
    <w:link w:val="FooterChar"/>
    <w:uiPriority w:val="99"/>
    <w:unhideWhenUsed/>
    <w:rsid w:val="004C61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13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nccd.int/Lists/OfficialDocuments/cop11/cst2eng.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ccd.int/Lists/SiteDocumentLibrary/conventionText/conv-eng.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ipcc-nggip.iges.or.jp/public/2006gl/vol4.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EBDB4-937E-4DCE-968D-543DB07A4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3454</Words>
  <Characters>19692</Characters>
  <Application>Microsoft Office Word</Application>
  <DocSecurity>0</DocSecurity>
  <Lines>164</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23100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Sommer</dc:creator>
  <cp:lastModifiedBy>Benjamin Rae</cp:lastModifiedBy>
  <cp:revision>2</cp:revision>
  <cp:lastPrinted>2015-05-19T17:43:00Z</cp:lastPrinted>
  <dcterms:created xsi:type="dcterms:W3CDTF">2015-05-20T14:05:00Z</dcterms:created>
  <dcterms:modified xsi:type="dcterms:W3CDTF">2015-05-20T14:05:00Z</dcterms:modified>
</cp:coreProperties>
</file>